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4"/>
        </w:rPr>
      </w:pPr>
      <w:bookmarkStart w:id="0" w:name="_Toc321926668"/>
      <w:bookmarkStart w:id="1" w:name="_Toc356504158"/>
      <w:bookmarkStart w:id="2" w:name="_Toc321927034"/>
      <w:bookmarkStart w:id="3" w:name="_Toc470776148"/>
      <w:bookmarkStart w:id="4" w:name="_Toc536788770"/>
      <w:bookmarkStart w:id="5" w:name="OLE_LINK2"/>
      <w:bookmarkStart w:id="11" w:name="_GoBack"/>
      <w:bookmarkEnd w:id="11"/>
      <w:r>
        <w:rPr>
          <w:rFonts w:hint="eastAsia" w:ascii="宋体" w:hAnsi="宋体"/>
          <w:sz w:val="24"/>
        </w:rPr>
        <w:t>附件1：</w:t>
      </w:r>
      <w:bookmarkEnd w:id="0"/>
      <w:bookmarkEnd w:id="1"/>
      <w:bookmarkEnd w:id="2"/>
      <w:bookmarkStart w:id="6" w:name="_Toc356504159"/>
      <w:r>
        <w:rPr>
          <w:rFonts w:hint="eastAsia" w:ascii="宋体" w:hAnsi="宋体"/>
          <w:sz w:val="24"/>
        </w:rPr>
        <w:t>资格审查要求</w:t>
      </w:r>
      <w:bookmarkEnd w:id="3"/>
      <w:bookmarkEnd w:id="4"/>
    </w:p>
    <w:p>
      <w:pPr>
        <w:pStyle w:val="5"/>
        <w:snapToGrid w:val="0"/>
        <w:spacing w:before="100" w:beforeAutospacing="1" w:after="100" w:afterAutospacing="1" w:line="240" w:lineRule="auto"/>
        <w:jc w:val="center"/>
        <w:rPr>
          <w:rFonts w:hint="eastAsia" w:ascii="宋体" w:hAnsi="宋体"/>
          <w:sz w:val="24"/>
          <w:szCs w:val="24"/>
        </w:rPr>
      </w:pPr>
      <w:bookmarkStart w:id="7" w:name="_Toc536788771"/>
      <w:r>
        <w:rPr>
          <w:rFonts w:hint="eastAsia" w:ascii="宋体" w:hAnsi="宋体"/>
          <w:sz w:val="24"/>
          <w:szCs w:val="24"/>
        </w:rPr>
        <w:t>附录1  资质审查条件（资质最低要求）</w:t>
      </w:r>
      <w:bookmarkEnd w:id="7"/>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szCs w:val="21"/>
              </w:rPr>
            </w:pPr>
            <w:r>
              <w:rPr>
                <w:rFonts w:hint="eastAsia" w:ascii="宋体" w:hAnsi="宋体"/>
                <w:b/>
                <w:szCs w:val="21"/>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9" w:hRule="atLeast"/>
          <w:jc w:val="center"/>
        </w:trPr>
        <w:tc>
          <w:tcPr>
            <w:tcW w:w="8799" w:type="dxa"/>
            <w:noWrap w:val="0"/>
            <w:vAlign w:val="center"/>
          </w:tcPr>
          <w:p>
            <w:pPr>
              <w:snapToGrid w:val="0"/>
              <w:spacing w:line="360" w:lineRule="auto"/>
              <w:ind w:left="108"/>
              <w:jc w:val="left"/>
              <w:rPr>
                <w:rFonts w:hint="eastAsia" w:ascii="宋体" w:hAnsi="宋体" w:cs="宋体"/>
              </w:rPr>
            </w:pPr>
            <w:r>
              <w:rPr>
                <w:rFonts w:hint="eastAsia" w:ascii="宋体" w:hAnsi="宋体" w:cs="宋体"/>
              </w:rPr>
              <w:t>1、具有独立法人资格，持有有效的企业营业执照或事业单位法人证书；</w:t>
            </w:r>
          </w:p>
          <w:p>
            <w:pPr>
              <w:snapToGrid w:val="0"/>
              <w:spacing w:line="360" w:lineRule="auto"/>
              <w:ind w:left="108" w:right="105"/>
              <w:jc w:val="left"/>
              <w:rPr>
                <w:rFonts w:hint="eastAsia" w:ascii="宋体" w:hAnsi="宋体"/>
              </w:rPr>
            </w:pPr>
            <w:r>
              <w:rPr>
                <w:rFonts w:hint="eastAsia" w:ascii="宋体" w:hAnsi="宋体" w:cs="宋体"/>
              </w:rPr>
              <w:t>2、具有交通主管部门颁发的公路工程综合甲级试验检测资质证书；具有省级及以上技术监督部门颁发的相应的 CMA 计量认证证书。</w:t>
            </w:r>
          </w:p>
        </w:tc>
      </w:tr>
    </w:tbl>
    <w:p>
      <w:pPr>
        <w:pStyle w:val="5"/>
        <w:spacing w:line="240" w:lineRule="auto"/>
        <w:jc w:val="center"/>
        <w:rPr>
          <w:rFonts w:hint="eastAsia" w:ascii="宋体"/>
          <w:sz w:val="24"/>
          <w:szCs w:val="24"/>
        </w:rPr>
      </w:pPr>
      <w:bookmarkStart w:id="8" w:name="_Toc536788772"/>
      <w:r>
        <w:rPr>
          <w:rFonts w:hint="eastAsia" w:ascii="宋体"/>
          <w:sz w:val="24"/>
          <w:szCs w:val="24"/>
        </w:rPr>
        <w:t xml:space="preserve">附录2  资质审查条件（业绩最低要求）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szCs w:val="21"/>
              </w:rPr>
            </w:pPr>
            <w:r>
              <w:rPr>
                <w:rFonts w:hint="eastAsia" w:ascii="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jc w:val="left"/>
              <w:rPr>
                <w:rFonts w:hint="eastAsia" w:ascii="宋体"/>
                <w:szCs w:val="21"/>
              </w:rPr>
            </w:pPr>
            <w:r>
              <w:rPr>
                <w:rFonts w:hint="eastAsia" w:ascii="宋体"/>
                <w:szCs w:val="21"/>
              </w:rPr>
              <w:t>近5年内(2017年</w:t>
            </w:r>
            <w:r>
              <w:rPr>
                <w:rFonts w:hint="eastAsia" w:ascii="宋体"/>
                <w:szCs w:val="21"/>
                <w:lang w:eastAsia="zh-CN"/>
              </w:rPr>
              <w:t>9月</w:t>
            </w:r>
            <w:r>
              <w:rPr>
                <w:rFonts w:hint="eastAsia" w:ascii="宋体"/>
                <w:szCs w:val="21"/>
              </w:rPr>
              <w:t>1日至今，以合同签订时间为准）独立承担过 1 项高速公路第三方检测业绩。</w:t>
            </w:r>
          </w:p>
        </w:tc>
      </w:tr>
      <w:bookmarkEnd w:id="8"/>
    </w:tbl>
    <w:p>
      <w:pPr>
        <w:pStyle w:val="5"/>
        <w:spacing w:line="240" w:lineRule="auto"/>
        <w:jc w:val="center"/>
        <w:rPr>
          <w:rFonts w:hint="eastAsia" w:ascii="宋体" w:hAnsi="宋体"/>
          <w:sz w:val="24"/>
          <w:szCs w:val="24"/>
        </w:rPr>
      </w:pPr>
      <w:bookmarkStart w:id="9" w:name="_Toc536788773"/>
    </w:p>
    <w:p>
      <w:pPr>
        <w:pStyle w:val="5"/>
        <w:spacing w:line="240" w:lineRule="auto"/>
        <w:jc w:val="center"/>
        <w:rPr>
          <w:rFonts w:hint="eastAsia" w:ascii="宋体" w:hAnsi="宋体"/>
        </w:rPr>
      </w:pPr>
      <w:r>
        <w:rPr>
          <w:rFonts w:hint="eastAsia" w:ascii="宋体" w:hAnsi="宋体"/>
          <w:sz w:val="24"/>
          <w:szCs w:val="24"/>
        </w:rPr>
        <w:t>附录3  资质审查条件（信誉最低要求）</w:t>
      </w:r>
      <w:bookmarkEnd w:id="9"/>
      <w:r>
        <w:rPr>
          <w:rFonts w:hint="eastAsia" w:ascii="宋体" w:hAnsi="宋体"/>
          <w:sz w:val="24"/>
          <w:szCs w:val="24"/>
        </w:rPr>
        <w:t xml:space="preserve"> </w:t>
      </w:r>
      <w:r>
        <w:rPr>
          <w:rFonts w:hint="eastAsia" w:ascii="宋体" w:hAnsi="宋体"/>
          <w:b w:val="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hAnsi="宋体"/>
                <w:b/>
                <w:szCs w:val="21"/>
              </w:rPr>
            </w:pPr>
            <w:r>
              <w:rPr>
                <w:rFonts w:hint="eastAsia" w:ascii="宋体" w:hAnsi="宋体"/>
                <w:b/>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hAnsi="宋体"/>
                <w:szCs w:val="21"/>
              </w:rPr>
            </w:pPr>
            <w:r>
              <w:rPr>
                <w:rFonts w:hint="eastAsia" w:ascii="宋体" w:hAnsi="宋体"/>
                <w:szCs w:val="21"/>
              </w:rPr>
              <w:t>投标人过去1年（2021年</w:t>
            </w:r>
            <w:r>
              <w:rPr>
                <w:rFonts w:hint="eastAsia" w:ascii="宋体" w:hAnsi="宋体"/>
                <w:szCs w:val="21"/>
                <w:lang w:eastAsia="zh-CN"/>
              </w:rPr>
              <w:t>9月</w:t>
            </w:r>
            <w:r>
              <w:rPr>
                <w:rFonts w:hint="eastAsia" w:ascii="宋体" w:hAnsi="宋体"/>
                <w:szCs w:val="21"/>
              </w:rPr>
              <w:t>1日至今）中不曾在高速公路</w:t>
            </w:r>
            <w:r>
              <w:rPr>
                <w:rFonts w:hint="eastAsia" w:ascii="宋体" w:hAnsi="宋体"/>
                <w:szCs w:val="21"/>
                <w:lang w:val="en-US" w:eastAsia="zh-CN"/>
              </w:rPr>
              <w:t>检测</w:t>
            </w:r>
            <w:r>
              <w:t>工程合同</w:t>
            </w:r>
            <w:r>
              <w:rPr>
                <w:rFonts w:hint="eastAsia" w:ascii="宋体" w:hAnsi="宋体"/>
                <w:szCs w:val="21"/>
              </w:rPr>
              <w:t>中违约而被驱逐或因投标人自身的原因而使合同被解除。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rPr>
            </w:pPr>
          </w:p>
        </w:tc>
      </w:tr>
    </w:tbl>
    <w:p>
      <w:pPr>
        <w:rPr>
          <w:rFonts w:ascii="宋体" w:hAnsi="宋体"/>
          <w:b/>
          <w:sz w:val="24"/>
        </w:rPr>
      </w:pPr>
      <w:bookmarkStart w:id="10" w:name="_Toc470776154"/>
    </w:p>
    <w:p>
      <w:pPr>
        <w:adjustRightInd w:val="0"/>
        <w:snapToGrid w:val="0"/>
        <w:spacing w:line="360" w:lineRule="auto"/>
        <w:jc w:val="center"/>
        <w:rPr>
          <w:rFonts w:ascii="宋体" w:hAnsi="宋体"/>
          <w:b/>
          <w:sz w:val="24"/>
        </w:rPr>
      </w:pPr>
      <w:r>
        <w:rPr>
          <w:rFonts w:hint="eastAsia" w:ascii="宋体" w:hAnsi="宋体"/>
          <w:b/>
          <w:sz w:val="24"/>
        </w:rPr>
        <w:t xml:space="preserve">附录4 资格审查条件（项目负责人最低要求）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992"/>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383" w:type="dxa"/>
            <w:noWrap w:val="0"/>
            <w:vAlign w:val="center"/>
          </w:tcPr>
          <w:p>
            <w:pPr>
              <w:pStyle w:val="7"/>
              <w:spacing w:before="0" w:beforeAutospacing="0" w:after="0" w:afterAutospacing="0"/>
              <w:contextualSpacing/>
              <w:jc w:val="center"/>
              <w:rPr>
                <w:rFonts w:hAnsi="宋体"/>
                <w:color w:val="auto"/>
                <w:sz w:val="21"/>
                <w:szCs w:val="21"/>
              </w:rPr>
            </w:pPr>
            <w:r>
              <w:rPr>
                <w:rFonts w:hint="eastAsia" w:hAnsi="宋体"/>
                <w:color w:val="auto"/>
                <w:sz w:val="21"/>
                <w:szCs w:val="21"/>
              </w:rPr>
              <w:t>人   员</w:t>
            </w:r>
          </w:p>
        </w:tc>
        <w:tc>
          <w:tcPr>
            <w:tcW w:w="992" w:type="dxa"/>
            <w:noWrap w:val="0"/>
            <w:vAlign w:val="center"/>
          </w:tcPr>
          <w:p>
            <w:pPr>
              <w:pStyle w:val="7"/>
              <w:spacing w:before="0" w:beforeAutospacing="0" w:after="0" w:afterAutospacing="0"/>
              <w:contextualSpacing/>
              <w:jc w:val="center"/>
              <w:rPr>
                <w:rFonts w:hAnsi="宋体"/>
                <w:color w:val="auto"/>
                <w:sz w:val="21"/>
                <w:szCs w:val="21"/>
              </w:rPr>
            </w:pPr>
            <w:r>
              <w:rPr>
                <w:rFonts w:hint="eastAsia" w:hAnsi="宋体"/>
                <w:color w:val="auto"/>
                <w:sz w:val="21"/>
                <w:szCs w:val="21"/>
              </w:rPr>
              <w:t>数量</w:t>
            </w:r>
          </w:p>
        </w:tc>
        <w:tc>
          <w:tcPr>
            <w:tcW w:w="6452" w:type="dxa"/>
            <w:noWrap w:val="0"/>
            <w:vAlign w:val="center"/>
          </w:tcPr>
          <w:p>
            <w:pPr>
              <w:pStyle w:val="7"/>
              <w:spacing w:before="0" w:beforeAutospacing="0" w:after="0" w:afterAutospacing="0"/>
              <w:contextualSpacing/>
              <w:jc w:val="center"/>
              <w:rPr>
                <w:rFonts w:hAnsi="宋体"/>
                <w:color w:val="auto"/>
                <w:sz w:val="21"/>
                <w:szCs w:val="21"/>
              </w:rPr>
            </w:pPr>
            <w:r>
              <w:rPr>
                <w:rFonts w:hint="eastAsia" w:hAnsi="宋体"/>
                <w:color w:val="auto"/>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383" w:type="dxa"/>
            <w:noWrap w:val="0"/>
            <w:vAlign w:val="center"/>
          </w:tcPr>
          <w:p>
            <w:pPr>
              <w:jc w:val="center"/>
              <w:rPr>
                <w:rFonts w:ascii="宋体" w:hAnsi="宋体"/>
                <w:szCs w:val="21"/>
              </w:rPr>
            </w:pPr>
            <w:r>
              <w:rPr>
                <w:rFonts w:hint="eastAsia" w:ascii="宋体" w:hAnsi="宋体"/>
                <w:szCs w:val="21"/>
              </w:rPr>
              <w:t>项目负责人</w:t>
            </w:r>
          </w:p>
        </w:tc>
        <w:tc>
          <w:tcPr>
            <w:tcW w:w="992" w:type="dxa"/>
            <w:noWrap w:val="0"/>
            <w:vAlign w:val="center"/>
          </w:tcPr>
          <w:p>
            <w:pPr>
              <w:jc w:val="center"/>
              <w:rPr>
                <w:rFonts w:ascii="宋体" w:hAnsi="宋体"/>
                <w:szCs w:val="21"/>
              </w:rPr>
            </w:pPr>
            <w:r>
              <w:rPr>
                <w:rFonts w:hint="eastAsia" w:ascii="宋体" w:hAnsi="宋体"/>
                <w:szCs w:val="21"/>
              </w:rPr>
              <w:t>1</w:t>
            </w:r>
          </w:p>
        </w:tc>
        <w:tc>
          <w:tcPr>
            <w:tcW w:w="6452" w:type="dxa"/>
            <w:noWrap w:val="0"/>
            <w:vAlign w:val="center"/>
          </w:tcPr>
          <w:p>
            <w:pPr>
              <w:jc w:val="left"/>
              <w:rPr>
                <w:rFonts w:ascii="宋体" w:hAnsi="宋体"/>
                <w:szCs w:val="21"/>
              </w:rPr>
            </w:pPr>
            <w:r>
              <w:rPr>
                <w:rFonts w:hint="eastAsia" w:ascii="宋体" w:hAnsi="宋体"/>
                <w:szCs w:val="21"/>
              </w:rPr>
              <w:t>高级职称，具有交通运输部颁发的公路工程试验检测工程师证书或公路水运工程试验检测师证书。近5年内（2017年</w:t>
            </w:r>
            <w:r>
              <w:rPr>
                <w:rFonts w:hint="eastAsia" w:ascii="宋体" w:hAnsi="宋体"/>
                <w:szCs w:val="21"/>
                <w:lang w:eastAsia="zh-CN"/>
              </w:rPr>
              <w:t>9月</w:t>
            </w:r>
            <w:r>
              <w:rPr>
                <w:rFonts w:hint="eastAsia" w:ascii="宋体" w:hAnsi="宋体"/>
                <w:szCs w:val="21"/>
              </w:rPr>
              <w:t>1日至今，以合同签订时间为准），至少担任过一项</w:t>
            </w:r>
            <w:r>
              <w:rPr>
                <w:rFonts w:hint="eastAsia" w:ascii="宋体"/>
                <w:szCs w:val="21"/>
              </w:rPr>
              <w:t>高速公路第三方检测项目</w:t>
            </w:r>
            <w:r>
              <w:rPr>
                <w:rFonts w:hint="eastAsia" w:ascii="宋体" w:hAnsi="宋体"/>
                <w:szCs w:val="21"/>
              </w:rPr>
              <w:t>的项目负责人。</w:t>
            </w:r>
          </w:p>
        </w:tc>
      </w:tr>
    </w:tbl>
    <w:p>
      <w:pPr>
        <w:adjustRightInd w:val="0"/>
        <w:snapToGrid w:val="0"/>
        <w:spacing w:line="360" w:lineRule="auto"/>
        <w:rPr>
          <w:rFonts w:hint="eastAsia" w:ascii="宋体" w:hAnsi="宋体" w:eastAsia="宋体" w:cs="宋体"/>
          <w:b w:val="0"/>
          <w:bCs/>
          <w:sz w:val="24"/>
          <w:szCs w:val="24"/>
          <w:lang w:val="en-US" w:eastAsia="zh-CN"/>
        </w:rPr>
      </w:pPr>
      <w:r>
        <w:rPr>
          <w:rFonts w:ascii="宋体" w:hAnsi="宋体"/>
          <w:b/>
          <w:sz w:val="24"/>
        </w:rPr>
        <w:br w:type="page"/>
      </w:r>
      <w:bookmarkEnd w:id="5"/>
      <w:bookmarkEnd w:id="6"/>
      <w:bookmarkEnd w:id="10"/>
      <w:r>
        <w:rPr>
          <w:rFonts w:hint="eastAsia" w:ascii="宋体" w:hAnsi="宋体" w:eastAsia="宋体" w:cs="宋体"/>
          <w:b w:val="0"/>
          <w:bCs/>
          <w:sz w:val="24"/>
          <w:szCs w:val="24"/>
          <w:lang w:val="en-US" w:eastAsia="zh-CN"/>
        </w:rPr>
        <w:t>附件2：评标办法</w:t>
      </w:r>
    </w:p>
    <w:p>
      <w:pPr>
        <w:pStyle w:val="11"/>
        <w:spacing w:line="276" w:lineRule="auto"/>
        <w:jc w:val="both"/>
        <w:rPr>
          <w:rFonts w:ascii="宋体" w:hAnsi="宋体" w:eastAsia="宋体"/>
          <w:sz w:val="24"/>
          <w:szCs w:val="30"/>
        </w:rPr>
      </w:pPr>
      <w:r>
        <w:rPr>
          <w:rFonts w:hint="eastAsia" w:ascii="宋体" w:hAnsi="宋体" w:eastAsia="宋体"/>
          <w:sz w:val="24"/>
          <w:szCs w:val="30"/>
        </w:rPr>
        <w:t>评标办法前附表</w:t>
      </w:r>
    </w:p>
    <w:tbl>
      <w:tblPr>
        <w:tblStyle w:val="8"/>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条款号</w:t>
            </w:r>
          </w:p>
        </w:tc>
        <w:tc>
          <w:tcPr>
            <w:tcW w:w="1052"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条款名称</w:t>
            </w:r>
          </w:p>
        </w:tc>
        <w:tc>
          <w:tcPr>
            <w:tcW w:w="7250"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1</w:t>
            </w:r>
          </w:p>
        </w:tc>
        <w:tc>
          <w:tcPr>
            <w:tcW w:w="1052"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评标办法</w:t>
            </w:r>
          </w:p>
        </w:tc>
        <w:tc>
          <w:tcPr>
            <w:tcW w:w="7250" w:type="dxa"/>
            <w:noWrap w:val="0"/>
            <w:vAlign w:val="center"/>
          </w:tcPr>
          <w:p>
            <w:pPr>
              <w:snapToGrid w:val="0"/>
              <w:spacing w:line="320" w:lineRule="exact"/>
              <w:ind w:firstLine="404" w:firstLineChars="200"/>
              <w:jc w:val="left"/>
              <w:rPr>
                <w:rFonts w:hint="eastAsia" w:ascii="宋体" w:hAnsi="宋体" w:cs="宋体"/>
                <w:spacing w:val="-4"/>
                <w:szCs w:val="21"/>
              </w:rPr>
            </w:pPr>
            <w:r>
              <w:rPr>
                <w:rFonts w:hint="eastAsia" w:ascii="宋体" w:hAnsi="宋体" w:cs="宋体"/>
                <w:spacing w:val="-4"/>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spacing w:val="-4"/>
                <w:szCs w:val="21"/>
              </w:rPr>
            </w:pPr>
            <w:r>
              <w:rPr>
                <w:rFonts w:hint="eastAsia" w:ascii="宋体" w:hAnsi="宋体" w:cs="宋体"/>
                <w:spacing w:val="-4"/>
                <w:szCs w:val="21"/>
              </w:rPr>
              <w:t>（1）评标价低的投标人优先；</w:t>
            </w:r>
          </w:p>
          <w:p>
            <w:pPr>
              <w:snapToGrid w:val="0"/>
              <w:spacing w:line="320" w:lineRule="exact"/>
              <w:ind w:left="205" w:leftChars="97" w:hanging="1"/>
              <w:jc w:val="left"/>
              <w:rPr>
                <w:rFonts w:hint="eastAsia" w:ascii="宋体" w:hAnsi="宋体" w:cs="宋体"/>
                <w:spacing w:val="-4"/>
                <w:szCs w:val="21"/>
              </w:rPr>
            </w:pPr>
            <w:r>
              <w:rPr>
                <w:rFonts w:hint="eastAsia" w:ascii="宋体" w:hAnsi="宋体" w:cs="宋体"/>
                <w:spacing w:val="-4"/>
                <w:szCs w:val="21"/>
              </w:rPr>
              <w:t>（2）技术建议书得分较高的投标人优先；</w:t>
            </w:r>
          </w:p>
          <w:p>
            <w:pPr>
              <w:snapToGrid w:val="0"/>
              <w:spacing w:line="320" w:lineRule="exact"/>
              <w:ind w:left="205" w:leftChars="97" w:hanging="1"/>
              <w:jc w:val="left"/>
              <w:rPr>
                <w:rFonts w:hint="eastAsia" w:ascii="宋体" w:hAnsi="宋体" w:cs="宋体"/>
                <w:spacing w:val="-4"/>
                <w:szCs w:val="21"/>
              </w:rPr>
            </w:pPr>
            <w:r>
              <w:rPr>
                <w:rFonts w:hint="eastAsia" w:ascii="宋体" w:hAnsi="宋体" w:cs="宋体"/>
                <w:spacing w:val="-4"/>
                <w:szCs w:val="21"/>
              </w:rPr>
              <w:t>（3）投标人近5年内满足资格审查条件(业绩最低条件)要求的业绩累计合同金额高的优先。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2.1.1</w:t>
            </w:r>
          </w:p>
          <w:p>
            <w:pPr>
              <w:snapToGrid w:val="0"/>
              <w:spacing w:line="320" w:lineRule="exact"/>
              <w:jc w:val="center"/>
              <w:rPr>
                <w:rFonts w:hint="eastAsia" w:ascii="宋体" w:hAnsi="宋体" w:cs="宋体"/>
                <w:szCs w:val="21"/>
              </w:rPr>
            </w:pPr>
            <w:r>
              <w:rPr>
                <w:rFonts w:hint="eastAsia" w:ascii="宋体" w:hAnsi="宋体" w:cs="宋体"/>
                <w:szCs w:val="21"/>
              </w:rPr>
              <w:t>2.1.3</w:t>
            </w:r>
          </w:p>
        </w:tc>
        <w:tc>
          <w:tcPr>
            <w:tcW w:w="1052"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形式评审与响应性评审标准</w:t>
            </w:r>
          </w:p>
        </w:tc>
        <w:tc>
          <w:tcPr>
            <w:tcW w:w="7250" w:type="dxa"/>
            <w:noWrap w:val="0"/>
            <w:vAlign w:val="top"/>
          </w:tcPr>
          <w:p>
            <w:pPr>
              <w:tabs>
                <w:tab w:val="left" w:pos="3060"/>
              </w:tabs>
              <w:snapToGrid w:val="0"/>
              <w:spacing w:line="320" w:lineRule="exact"/>
              <w:rPr>
                <w:rFonts w:hint="eastAsia" w:ascii="宋体" w:hAnsi="宋体" w:cs="宋体"/>
                <w:b/>
                <w:szCs w:val="21"/>
              </w:rPr>
            </w:pPr>
            <w:r>
              <w:rPr>
                <w:rFonts w:hint="eastAsia" w:ascii="宋体" w:hAnsi="宋体" w:cs="宋体"/>
                <w:b/>
                <w:szCs w:val="21"/>
              </w:rPr>
              <w:t>第一个信封（商务及技术文件）评审标准:</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（1）投标文件按照招标文件规定的格式、内容填写，字迹清晰可辨：</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a.投标函按招标文件规定填报了项目名称、质量要求、服务期限及项目负责人信息；</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b.投标文件组成齐全完整，内容均按规定填写。</w:t>
            </w:r>
          </w:p>
          <w:p>
            <w:pPr>
              <w:tabs>
                <w:tab w:val="left" w:pos="3060"/>
              </w:tabs>
              <w:snapToGrid w:val="0"/>
              <w:spacing w:line="320" w:lineRule="exact"/>
              <w:ind w:firstLine="210" w:firstLineChars="100"/>
              <w:rPr>
                <w:rFonts w:hint="eastAsia" w:ascii="宋体" w:hAnsi="宋体" w:cs="宋体"/>
                <w:bCs/>
                <w:szCs w:val="21"/>
              </w:rPr>
            </w:pPr>
            <w:r>
              <w:rPr>
                <w:rFonts w:hint="eastAsia" w:ascii="宋体" w:hAnsi="宋体" w:cs="宋体"/>
                <w:bCs/>
                <w:szCs w:val="21"/>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（3）投标人按照招标文件的规定提供了投标保证金：</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（4）投标人法定代表人授权委托代理人签署投标文件的，须提交授权委托书，授权委托书的签字盖章符合招标文件规定，授权委托书只能授权给一名委托代理人。</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（6）投标人未以联合体形式投标。</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（7）投标人未对本项目提出分包计划。</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（8）同一投标人未提交两个以上不同的投标文件。</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（9）投标文件第一信封中未出现有关投标报价的内容。</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（10）投标文件载明的招标项目完成期限未超过招标文件规定的时限。</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（11）投标文件对招标文件的实质性要求和条件作出响应。</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（12）权利义务符合招标文件规定：</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a.投标人应接受招标文件规定的风险划分原则，未提出新的风险划分办法；</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b.投标人未增加招标人的责任范围，或减少投标人义务；</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c.投标人未提出不同的支付办法；</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d.投标人对合同纠纷、事故处理办法未提出异议；</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e.投标人在投标活动中无欺诈行为；</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f.投标人未对合同条款有重要保留。</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szCs w:val="21"/>
              </w:rPr>
              <w:t>(13)投标人名称与营业执照、基本账户开户许可证（或基本存款账户信息）一致，如企业名称有变更的，应提供其变更记录或相关部门的合法批件复印件。</w:t>
            </w:r>
          </w:p>
          <w:p>
            <w:pPr>
              <w:tabs>
                <w:tab w:val="left" w:pos="3060"/>
              </w:tabs>
              <w:snapToGrid w:val="0"/>
              <w:spacing w:line="320" w:lineRule="exact"/>
              <w:rPr>
                <w:rFonts w:hint="eastAsia" w:ascii="宋体" w:hAnsi="宋体" w:cs="宋体"/>
                <w:b/>
                <w:szCs w:val="21"/>
              </w:rPr>
            </w:pPr>
            <w:r>
              <w:rPr>
                <w:rFonts w:hint="eastAsia" w:ascii="宋体" w:hAnsi="宋体" w:cs="宋体"/>
                <w:b/>
                <w:szCs w:val="21"/>
              </w:rPr>
              <w:t>第二个信封（报价文件）评审标准：</w:t>
            </w:r>
          </w:p>
          <w:p>
            <w:pPr>
              <w:tabs>
                <w:tab w:val="left" w:pos="3060"/>
              </w:tabs>
              <w:snapToGrid w:val="0"/>
              <w:spacing w:line="320" w:lineRule="exact"/>
              <w:ind w:firstLine="205" w:firstLineChars="98"/>
              <w:rPr>
                <w:rFonts w:hint="eastAsia" w:ascii="宋体" w:hAnsi="宋体" w:cs="宋体"/>
                <w:bCs/>
                <w:szCs w:val="21"/>
              </w:rPr>
            </w:pPr>
            <w:r>
              <w:rPr>
                <w:rFonts w:hint="eastAsia" w:ascii="宋体" w:hAnsi="宋体" w:cs="宋体"/>
                <w:bCs/>
                <w:szCs w:val="21"/>
              </w:rPr>
              <w:t>（1）投标文件按照招标文件规定的格式、内容填写，字迹清晰可辨：</w:t>
            </w:r>
          </w:p>
          <w:p>
            <w:pPr>
              <w:tabs>
                <w:tab w:val="left" w:pos="3060"/>
              </w:tabs>
              <w:snapToGrid w:val="0"/>
              <w:spacing w:line="320" w:lineRule="exact"/>
              <w:ind w:firstLine="205" w:firstLineChars="98"/>
              <w:rPr>
                <w:rFonts w:hint="eastAsia" w:ascii="宋体" w:hAnsi="宋体" w:cs="宋体"/>
                <w:bCs/>
                <w:szCs w:val="21"/>
              </w:rPr>
            </w:pPr>
            <w:r>
              <w:rPr>
                <w:rFonts w:hint="eastAsia" w:ascii="宋体" w:hAnsi="宋体" w:cs="宋体"/>
                <w:bCs/>
                <w:szCs w:val="21"/>
              </w:rPr>
              <w:t>a.投标函按招标文件规定填报了项目名称、投标价（包括大写金额和小写金额）；</w:t>
            </w:r>
          </w:p>
          <w:p>
            <w:pPr>
              <w:tabs>
                <w:tab w:val="left" w:pos="3060"/>
              </w:tabs>
              <w:snapToGrid w:val="0"/>
              <w:spacing w:line="320" w:lineRule="exact"/>
              <w:ind w:firstLine="205" w:firstLineChars="98"/>
              <w:rPr>
                <w:rFonts w:hint="eastAsia" w:ascii="宋体" w:hAnsi="宋体" w:cs="宋体"/>
                <w:bCs/>
                <w:szCs w:val="21"/>
              </w:rPr>
            </w:pPr>
            <w:r>
              <w:rPr>
                <w:rFonts w:hint="eastAsia" w:ascii="宋体" w:hAnsi="宋体" w:cs="宋体"/>
                <w:bCs/>
                <w:szCs w:val="21"/>
              </w:rPr>
              <w:t>b．投标文件组成齐全完整，内容均按规定填写。</w:t>
            </w:r>
          </w:p>
          <w:p>
            <w:pPr>
              <w:tabs>
                <w:tab w:val="left" w:pos="3060"/>
              </w:tabs>
              <w:snapToGrid w:val="0"/>
              <w:spacing w:line="320" w:lineRule="exact"/>
              <w:ind w:firstLine="210" w:firstLineChars="100"/>
              <w:rPr>
                <w:rFonts w:hint="eastAsia" w:ascii="宋体" w:hAnsi="宋体" w:cs="宋体"/>
                <w:szCs w:val="21"/>
              </w:rPr>
            </w:pPr>
            <w:r>
              <w:rPr>
                <w:rFonts w:hint="eastAsia" w:ascii="宋体" w:hAnsi="宋体" w:cs="宋体"/>
                <w:bCs/>
                <w:szCs w:val="21"/>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ascii="宋体" w:hAnsi="宋体" w:cs="宋体"/>
                <w:szCs w:val="21"/>
              </w:rPr>
            </w:pPr>
            <w:r>
              <w:rPr>
                <w:rFonts w:hint="eastAsia" w:ascii="宋体" w:hAnsi="宋体" w:cs="宋体"/>
                <w:szCs w:val="21"/>
              </w:rPr>
              <w:t>（3）投标函中的报价未超过招标文件设定的最高投标限价。</w:t>
            </w:r>
          </w:p>
          <w:p>
            <w:pPr>
              <w:tabs>
                <w:tab w:val="left" w:pos="3060"/>
              </w:tabs>
              <w:snapToGrid w:val="0"/>
              <w:spacing w:line="320" w:lineRule="exact"/>
              <w:ind w:firstLine="105" w:firstLineChars="50"/>
              <w:rPr>
                <w:rFonts w:hint="eastAsia" w:ascii="宋体" w:hAnsi="宋体" w:cs="宋体"/>
                <w:szCs w:val="21"/>
              </w:rPr>
            </w:pPr>
            <w:r>
              <w:rPr>
                <w:rFonts w:hint="eastAsia" w:ascii="宋体" w:hAnsi="宋体" w:cs="宋体"/>
                <w:szCs w:val="21"/>
              </w:rPr>
              <w:t>（4）投标函中报价的大写金额能够确定具体数值。</w:t>
            </w:r>
          </w:p>
          <w:p>
            <w:pPr>
              <w:tabs>
                <w:tab w:val="left" w:pos="3060"/>
              </w:tabs>
              <w:snapToGrid w:val="0"/>
              <w:spacing w:line="320" w:lineRule="exact"/>
              <w:ind w:firstLine="105" w:firstLineChars="50"/>
              <w:rPr>
                <w:rFonts w:hint="eastAsia" w:ascii="宋体" w:hAnsi="宋体" w:cs="宋体"/>
                <w:szCs w:val="21"/>
              </w:rPr>
            </w:pPr>
            <w:r>
              <w:rPr>
                <w:rFonts w:hint="eastAsia" w:ascii="宋体" w:hAnsi="宋体" w:cs="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2.1.2</w:t>
            </w:r>
          </w:p>
        </w:tc>
        <w:tc>
          <w:tcPr>
            <w:tcW w:w="1052"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资格评审标准</w:t>
            </w:r>
          </w:p>
        </w:tc>
        <w:tc>
          <w:tcPr>
            <w:tcW w:w="7250" w:type="dxa"/>
            <w:noWrap w:val="0"/>
            <w:vAlign w:val="top"/>
          </w:tcPr>
          <w:p>
            <w:pPr>
              <w:tabs>
                <w:tab w:val="left" w:pos="3060"/>
              </w:tabs>
              <w:snapToGrid w:val="0"/>
              <w:spacing w:line="320" w:lineRule="exact"/>
              <w:rPr>
                <w:rFonts w:hint="eastAsia" w:ascii="宋体" w:hAnsi="宋体" w:cs="宋体"/>
                <w:szCs w:val="21"/>
              </w:rPr>
            </w:pPr>
            <w:r>
              <w:rPr>
                <w:rFonts w:hint="eastAsia" w:ascii="宋体" w:hAnsi="宋体" w:cs="宋体"/>
                <w:szCs w:val="21"/>
              </w:rPr>
              <w:t>（1）投标人具备有效的营业执照和基本账户开户许可证（或基本存款账户信息）；</w:t>
            </w:r>
          </w:p>
          <w:p>
            <w:pPr>
              <w:tabs>
                <w:tab w:val="left" w:pos="3060"/>
              </w:tabs>
              <w:snapToGrid w:val="0"/>
              <w:spacing w:line="320" w:lineRule="exact"/>
              <w:rPr>
                <w:rFonts w:hint="eastAsia" w:ascii="宋体" w:hAnsi="宋体" w:cs="宋体"/>
                <w:szCs w:val="21"/>
              </w:rPr>
            </w:pPr>
            <w:r>
              <w:rPr>
                <w:rFonts w:hint="eastAsia" w:ascii="宋体" w:hAnsi="宋体" w:cs="宋体"/>
                <w:szCs w:val="21"/>
              </w:rPr>
              <w:t>（2）投标人的资质等级符合招标文件规定；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（3）投标人的信誉符合招标文件规定；</w:t>
            </w:r>
          </w:p>
          <w:p>
            <w:pPr>
              <w:pStyle w:val="2"/>
              <w:snapToGrid w:val="0"/>
              <w:spacing w:after="0" w:line="320" w:lineRule="exact"/>
              <w:rPr>
                <w:rFonts w:hint="eastAsia" w:ascii="宋体" w:hAnsi="宋体"/>
              </w:rPr>
            </w:pPr>
            <w:r>
              <w:rPr>
                <w:rFonts w:hint="eastAsia" w:ascii="宋体" w:hAnsi="宋体" w:cs="宋体"/>
                <w:szCs w:val="21"/>
              </w:rPr>
              <w:t>（4）</w:t>
            </w:r>
            <w:r>
              <w:rPr>
                <w:rFonts w:hint="eastAsia" w:ascii="宋体" w:hAnsi="宋体"/>
                <w:spacing w:val="-4"/>
                <w:szCs w:val="21"/>
              </w:rPr>
              <w:t>投标人的项目负责人资格符合招标文件规定；</w:t>
            </w:r>
          </w:p>
          <w:p>
            <w:pPr>
              <w:tabs>
                <w:tab w:val="left" w:pos="3060"/>
              </w:tabs>
              <w:snapToGrid w:val="0"/>
              <w:spacing w:line="320" w:lineRule="exact"/>
              <w:rPr>
                <w:rFonts w:hint="eastAsia" w:ascii="宋体" w:hAnsi="宋体" w:cs="宋体"/>
                <w:szCs w:val="21"/>
              </w:rPr>
            </w:pPr>
            <w:r>
              <w:rPr>
                <w:rFonts w:hint="eastAsia" w:ascii="宋体" w:hAnsi="宋体" w:cs="宋体"/>
                <w:szCs w:val="21"/>
              </w:rPr>
              <w:t xml:space="preserve">（5）投标人不存在第二章“投标人须知”第1.4.3项、第1.4.4项规定的任何一种情形。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2.2.1</w:t>
            </w:r>
          </w:p>
        </w:tc>
        <w:tc>
          <w:tcPr>
            <w:tcW w:w="1052" w:type="dxa"/>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分值构成</w:t>
            </w:r>
          </w:p>
        </w:tc>
        <w:tc>
          <w:tcPr>
            <w:tcW w:w="7250" w:type="dxa"/>
            <w:noWrap w:val="0"/>
            <w:vAlign w:val="center"/>
          </w:tcPr>
          <w:p>
            <w:pPr>
              <w:autoSpaceDE w:val="0"/>
              <w:autoSpaceDN w:val="0"/>
              <w:adjustRightInd w:val="0"/>
              <w:snapToGrid w:val="0"/>
              <w:spacing w:line="320" w:lineRule="exact"/>
              <w:ind w:left="107"/>
              <w:jc w:val="left"/>
              <w:rPr>
                <w:rFonts w:hint="eastAsia" w:ascii="宋体" w:hAnsi="宋体" w:cs="宋体"/>
                <w:b/>
                <w:kern w:val="0"/>
                <w:szCs w:val="21"/>
              </w:rPr>
            </w:pPr>
            <w:r>
              <w:rPr>
                <w:rFonts w:hint="eastAsia" w:ascii="宋体" w:hAnsi="宋体" w:cs="宋体"/>
                <w:b/>
                <w:kern w:val="0"/>
                <w:szCs w:val="21"/>
              </w:rPr>
              <w:t>第一信封（商务及技术文件）评分分值构成：</w:t>
            </w:r>
          </w:p>
          <w:p>
            <w:pPr>
              <w:autoSpaceDE w:val="0"/>
              <w:autoSpaceDN w:val="0"/>
              <w:adjustRightInd w:val="0"/>
              <w:snapToGrid w:val="0"/>
              <w:spacing w:line="320" w:lineRule="exact"/>
              <w:ind w:left="107"/>
              <w:jc w:val="left"/>
              <w:rPr>
                <w:rFonts w:hint="eastAsia" w:ascii="宋体" w:hAnsi="宋体"/>
                <w:szCs w:val="21"/>
              </w:rPr>
            </w:pPr>
            <w:r>
              <w:rPr>
                <w:rFonts w:hint="eastAsia" w:ascii="宋体" w:hAnsi="宋体"/>
                <w:szCs w:val="21"/>
              </w:rPr>
              <w:t>技术建议书：40分</w:t>
            </w:r>
          </w:p>
          <w:p>
            <w:pPr>
              <w:autoSpaceDE w:val="0"/>
              <w:autoSpaceDN w:val="0"/>
              <w:adjustRightInd w:val="0"/>
              <w:snapToGrid w:val="0"/>
              <w:spacing w:line="320" w:lineRule="exact"/>
              <w:ind w:left="107"/>
              <w:jc w:val="left"/>
              <w:rPr>
                <w:rFonts w:ascii="宋体" w:hAnsi="宋体"/>
              </w:rPr>
            </w:pPr>
            <w:r>
              <w:rPr>
                <w:rFonts w:hint="eastAsia" w:ascii="宋体" w:hAnsi="宋体"/>
                <w:szCs w:val="21"/>
              </w:rPr>
              <w:t>主要人员：  15分</w:t>
            </w:r>
          </w:p>
          <w:p>
            <w:pPr>
              <w:autoSpaceDE w:val="0"/>
              <w:autoSpaceDN w:val="0"/>
              <w:adjustRightInd w:val="0"/>
              <w:snapToGrid w:val="0"/>
              <w:spacing w:line="320" w:lineRule="exact"/>
              <w:ind w:left="107"/>
              <w:jc w:val="left"/>
              <w:rPr>
                <w:rFonts w:hint="eastAsia" w:ascii="宋体" w:hAnsi="宋体" w:cs="宋体"/>
                <w:kern w:val="0"/>
                <w:szCs w:val="21"/>
              </w:rPr>
            </w:pPr>
            <w:r>
              <w:rPr>
                <w:rFonts w:hint="eastAsia" w:ascii="宋体" w:hAnsi="宋体" w:cs="宋体"/>
                <w:kern w:val="0"/>
                <w:szCs w:val="21"/>
              </w:rPr>
              <w:t>其他因素：  15分</w:t>
            </w:r>
          </w:p>
          <w:p>
            <w:pPr>
              <w:autoSpaceDE w:val="0"/>
              <w:autoSpaceDN w:val="0"/>
              <w:adjustRightInd w:val="0"/>
              <w:snapToGrid w:val="0"/>
              <w:spacing w:line="320" w:lineRule="exact"/>
              <w:ind w:left="107"/>
              <w:jc w:val="left"/>
              <w:rPr>
                <w:rFonts w:hint="eastAsia" w:ascii="宋体" w:hAnsi="宋体" w:cs="宋体"/>
                <w:b/>
                <w:kern w:val="0"/>
                <w:szCs w:val="21"/>
              </w:rPr>
            </w:pPr>
            <w:r>
              <w:rPr>
                <w:rFonts w:hint="eastAsia" w:ascii="宋体" w:hAnsi="宋体" w:cs="宋体"/>
                <w:b/>
                <w:kern w:val="0"/>
                <w:szCs w:val="21"/>
              </w:rPr>
              <w:t>第二信封（报价文件）评分分值构成：</w:t>
            </w:r>
          </w:p>
          <w:p>
            <w:pPr>
              <w:autoSpaceDE w:val="0"/>
              <w:autoSpaceDN w:val="0"/>
              <w:adjustRightInd w:val="0"/>
              <w:snapToGrid w:val="0"/>
              <w:spacing w:line="320" w:lineRule="exact"/>
              <w:ind w:left="107"/>
              <w:jc w:val="left"/>
              <w:rPr>
                <w:rFonts w:hint="eastAsia" w:ascii="宋体" w:hAnsi="宋体" w:cs="宋体"/>
                <w:szCs w:val="21"/>
              </w:rPr>
            </w:pPr>
            <w:r>
              <w:rPr>
                <w:rFonts w:hint="eastAsia" w:ascii="宋体" w:hAnsi="宋体" w:cs="宋体"/>
                <w:szCs w:val="21"/>
              </w:rPr>
              <w:t>评标价：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noWrap w:val="0"/>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2.2.2</w:t>
            </w:r>
          </w:p>
        </w:tc>
        <w:tc>
          <w:tcPr>
            <w:tcW w:w="1052" w:type="dxa"/>
            <w:noWrap w:val="0"/>
            <w:vAlign w:val="center"/>
          </w:tcPr>
          <w:p>
            <w:pPr>
              <w:snapToGrid w:val="0"/>
              <w:spacing w:line="320" w:lineRule="exact"/>
              <w:ind w:left="2"/>
              <w:jc w:val="center"/>
              <w:rPr>
                <w:rFonts w:hint="eastAsia" w:ascii="宋体" w:hAnsi="宋体" w:cs="宋体"/>
                <w:szCs w:val="21"/>
              </w:rPr>
            </w:pPr>
            <w:r>
              <w:rPr>
                <w:rFonts w:hint="eastAsia" w:ascii="宋体" w:hAnsi="宋体" w:cs="宋体"/>
                <w:szCs w:val="21"/>
              </w:rPr>
              <w:t>评标基准价计算方法</w:t>
            </w:r>
          </w:p>
        </w:tc>
        <w:tc>
          <w:tcPr>
            <w:tcW w:w="7250" w:type="dxa"/>
            <w:noWrap w:val="0"/>
            <w:vAlign w:val="center"/>
          </w:tcPr>
          <w:p>
            <w:pPr>
              <w:snapToGrid w:val="0"/>
              <w:spacing w:line="320" w:lineRule="exact"/>
              <w:ind w:right="113"/>
              <w:rPr>
                <w:rFonts w:hint="eastAsia" w:ascii="宋体" w:hAnsi="宋体" w:cs="宋体"/>
                <w:szCs w:val="21"/>
              </w:rPr>
            </w:pPr>
            <w:r>
              <w:rPr>
                <w:rFonts w:hint="eastAsia" w:ascii="宋体" w:hAnsi="宋体" w:cs="宋体"/>
                <w:szCs w:val="21"/>
              </w:rPr>
              <w:t>评标基准价的计算：</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（1）评标价的确定：</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评标价=投标函文字报价</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（2）评标价平均值的计算：</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（3）评标基准价的确定：</w:t>
            </w:r>
          </w:p>
          <w:p>
            <w:pPr>
              <w:pStyle w:val="12"/>
              <w:snapToGrid w:val="0"/>
              <w:spacing w:line="320" w:lineRule="exact"/>
              <w:ind w:firstLine="420" w:firstLineChars="200"/>
              <w:jc w:val="both"/>
              <w:rPr>
                <w:rFonts w:hint="eastAsia" w:hAnsi="宋体" w:cs="宋体"/>
                <w:sz w:val="21"/>
                <w:szCs w:val="21"/>
              </w:rPr>
            </w:pPr>
            <w:r>
              <w:rPr>
                <w:rFonts w:hint="eastAsia" w:hAnsi="宋体" w:cs="宋体"/>
                <w:sz w:val="21"/>
                <w:szCs w:val="21"/>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szCs w:val="21"/>
              </w:rPr>
            </w:pPr>
            <w:r>
              <w:rPr>
                <w:rFonts w:hint="eastAsia" w:ascii="宋体" w:hAnsi="宋体" w:cs="宋体"/>
                <w:szCs w:val="21"/>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2.2.3</w:t>
            </w:r>
          </w:p>
        </w:tc>
        <w:tc>
          <w:tcPr>
            <w:tcW w:w="1052" w:type="dxa"/>
            <w:noWrap w:val="0"/>
            <w:vAlign w:val="center"/>
          </w:tcPr>
          <w:p>
            <w:pPr>
              <w:snapToGrid w:val="0"/>
              <w:spacing w:line="320" w:lineRule="exact"/>
              <w:ind w:left="-31" w:leftChars="-15" w:right="-77"/>
              <w:jc w:val="center"/>
              <w:rPr>
                <w:rFonts w:hint="eastAsia" w:ascii="宋体" w:hAnsi="宋体" w:cs="宋体"/>
                <w:szCs w:val="21"/>
              </w:rPr>
            </w:pPr>
            <w:r>
              <w:rPr>
                <w:rFonts w:hint="eastAsia" w:ascii="宋体" w:hAnsi="宋体" w:cs="宋体"/>
                <w:szCs w:val="21"/>
              </w:rPr>
              <w:t>评标价的偏差率计算公式</w:t>
            </w:r>
          </w:p>
        </w:tc>
        <w:tc>
          <w:tcPr>
            <w:tcW w:w="7250" w:type="dxa"/>
            <w:noWrap w:val="0"/>
            <w:vAlign w:val="center"/>
          </w:tcPr>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3.6.1</w:t>
            </w:r>
          </w:p>
        </w:tc>
        <w:tc>
          <w:tcPr>
            <w:tcW w:w="1052" w:type="dxa"/>
            <w:noWrap w:val="0"/>
            <w:vAlign w:val="center"/>
          </w:tcPr>
          <w:p>
            <w:pPr>
              <w:snapToGrid w:val="0"/>
              <w:spacing w:line="320" w:lineRule="exact"/>
              <w:ind w:left="-31" w:leftChars="-15" w:right="-77"/>
              <w:jc w:val="center"/>
              <w:rPr>
                <w:rFonts w:hint="eastAsia" w:ascii="宋体" w:hAnsi="宋体" w:cs="宋体"/>
                <w:szCs w:val="21"/>
              </w:rPr>
            </w:pPr>
            <w:r>
              <w:rPr>
                <w:rFonts w:hint="eastAsia" w:ascii="宋体" w:hAnsi="宋体" w:cs="宋体"/>
                <w:szCs w:val="21"/>
              </w:rPr>
              <w:t>投标文件相关信息核查</w:t>
            </w:r>
          </w:p>
        </w:tc>
        <w:tc>
          <w:tcPr>
            <w:tcW w:w="7250" w:type="dxa"/>
            <w:noWrap w:val="0"/>
            <w:vAlign w:val="center"/>
          </w:tcPr>
          <w:p>
            <w:pPr>
              <w:adjustRightInd w:val="0"/>
              <w:snapToGrid w:val="0"/>
              <w:spacing w:line="320" w:lineRule="exact"/>
              <w:rPr>
                <w:rFonts w:hint="eastAsia"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hint="eastAsia" w:ascii="宋体" w:hAnsi="宋体" w:cs="宋体"/>
                <w:szCs w:val="21"/>
              </w:rPr>
            </w:pPr>
            <w:r>
              <w:rPr>
                <w:rFonts w:hint="eastAsia" w:ascii="宋体" w:hAnsi="宋体" w:cs="宋体"/>
                <w:szCs w:val="21"/>
              </w:rPr>
              <w:t>（1）评标委员会评标时对投标人的信用情况在“国家企业信用信息公示系统（http://www.gsxt.gov.cn/)”进行查询，若投标人存在被列入“严重违法失信名单”情形的（不含分公司）（事业单位不适用），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2）评标委员会评标时还应对投标人的信用情况在“信用中国网站（http://www.creditchina.gov.cn/)”进行查询，若投标人存在被列入“失信被执行人、异常经营名录、税收违法黑名单、政府采购严重违法失信行为记录名单”情形的（均不含分公司），评标委员会应否决其投标。</w:t>
            </w:r>
          </w:p>
          <w:p>
            <w:pPr>
              <w:snapToGrid w:val="0"/>
              <w:spacing w:line="320" w:lineRule="exact"/>
              <w:ind w:firstLine="420" w:firstLineChars="200"/>
            </w:pPr>
            <w:r>
              <w:rPr>
                <w:rFonts w:hint="eastAsia" w:ascii="宋体" w:hAnsi="宋体" w:cs="宋体"/>
                <w:szCs w:val="21"/>
              </w:rPr>
              <w:t>（3）评标委员会评标时还应对投标人的备案信息</w:t>
            </w:r>
            <w:r>
              <w:rPr>
                <w:rFonts w:ascii="宋体" w:hAnsi="宋体"/>
                <w:szCs w:val="21"/>
              </w:rPr>
              <w:t>在</w:t>
            </w:r>
            <w:r>
              <w:rPr>
                <w:rFonts w:hint="eastAsia" w:ascii="宋体" w:hAnsi="宋体" w:cs="宋体"/>
                <w:szCs w:val="21"/>
              </w:rPr>
              <w:t>“全国投资项目在线审批监管平台（</w:t>
            </w:r>
            <w:r>
              <w:rPr>
                <w:rFonts w:ascii="宋体" w:hAnsi="宋体" w:cs="宋体"/>
                <w:szCs w:val="21"/>
              </w:rPr>
              <w:t>http://new.tzxm.gov.cn/</w:t>
            </w:r>
            <w:r>
              <w:rPr>
                <w:rFonts w:hint="eastAsia" w:ascii="宋体" w:hAnsi="宋体" w:cs="宋体"/>
                <w:szCs w:val="21"/>
              </w:rPr>
              <w:t>）”进行查询，若投标人未在工程咨询单位名录内的，评标委员会应否决其投标。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snapToGrid w:val="0"/>
              <w:spacing w:line="320" w:lineRule="exact"/>
              <w:ind w:right="113"/>
              <w:jc w:val="center"/>
              <w:rPr>
                <w:rFonts w:hint="eastAsia" w:ascii="宋体" w:hAnsi="宋体" w:cs="宋体"/>
                <w:szCs w:val="21"/>
              </w:rPr>
            </w:pPr>
            <w:r>
              <w:rPr>
                <w:rFonts w:hint="eastAsia" w:ascii="宋体" w:hAnsi="宋体" w:cs="宋体"/>
                <w:szCs w:val="21"/>
              </w:rPr>
              <w:t>3.9.1</w:t>
            </w:r>
          </w:p>
        </w:tc>
        <w:tc>
          <w:tcPr>
            <w:tcW w:w="1052" w:type="dxa"/>
            <w:noWrap w:val="0"/>
            <w:vAlign w:val="center"/>
          </w:tcPr>
          <w:p>
            <w:pPr>
              <w:snapToGrid w:val="0"/>
              <w:spacing w:line="320" w:lineRule="exact"/>
              <w:ind w:left="-31" w:leftChars="-15" w:right="-77"/>
              <w:jc w:val="center"/>
              <w:rPr>
                <w:rFonts w:hint="eastAsia" w:ascii="宋体" w:hAnsi="宋体" w:cs="宋体"/>
                <w:szCs w:val="21"/>
              </w:rPr>
            </w:pPr>
            <w:r>
              <w:rPr>
                <w:rFonts w:hint="eastAsia" w:ascii="宋体" w:hAnsi="宋体" w:cs="宋体"/>
                <w:szCs w:val="21"/>
              </w:rPr>
              <w:t>评标</w:t>
            </w:r>
          </w:p>
          <w:p>
            <w:pPr>
              <w:snapToGrid w:val="0"/>
              <w:spacing w:line="320" w:lineRule="exact"/>
              <w:ind w:left="-31" w:leftChars="-15" w:right="-77"/>
              <w:jc w:val="center"/>
              <w:rPr>
                <w:rFonts w:hint="eastAsia" w:ascii="宋体" w:hAnsi="宋体" w:cs="宋体"/>
                <w:szCs w:val="21"/>
              </w:rPr>
            </w:pPr>
            <w:r>
              <w:rPr>
                <w:rFonts w:hint="eastAsia" w:ascii="宋体" w:hAnsi="宋体" w:cs="宋体"/>
                <w:szCs w:val="21"/>
              </w:rPr>
              <w:t>结果</w:t>
            </w:r>
          </w:p>
        </w:tc>
        <w:tc>
          <w:tcPr>
            <w:tcW w:w="7250" w:type="dxa"/>
            <w:noWrap w:val="0"/>
            <w:vAlign w:val="center"/>
          </w:tcPr>
          <w:p>
            <w:pPr>
              <w:snapToGrid w:val="0"/>
              <w:spacing w:line="320" w:lineRule="exact"/>
              <w:ind w:right="113"/>
              <w:rPr>
                <w:rFonts w:hint="eastAsia" w:ascii="宋体" w:hAnsi="宋体" w:cs="宋体"/>
                <w:szCs w:val="21"/>
              </w:rPr>
            </w:pPr>
            <w:r>
              <w:rPr>
                <w:rFonts w:hint="eastAsia" w:ascii="宋体" w:hAnsi="宋体" w:cs="宋体"/>
                <w:szCs w:val="21"/>
              </w:rPr>
              <w:t xml:space="preserve">    除第二章“投标人须知”前附表授权直接确定中标人外，评标委员会按照评标办法前附表“1.评标办法”的规定推荐中标候选人。</w:t>
            </w:r>
          </w:p>
        </w:tc>
      </w:tr>
    </w:tbl>
    <w:p>
      <w:pPr>
        <w:jc w:val="right"/>
        <w:rPr>
          <w:rFonts w:ascii="宋体" w:hAnsi="宋体"/>
          <w:szCs w:val="21"/>
        </w:rPr>
      </w:pPr>
      <w:r>
        <w:rPr>
          <w:rFonts w:ascii="宋体" w:hAnsi="宋体"/>
          <w:sz w:val="24"/>
        </w:rPr>
        <w:br w:type="page"/>
      </w:r>
      <w:r>
        <w:rPr>
          <w:rFonts w:hint="eastAsia" w:ascii="宋体" w:hAnsi="宋体"/>
          <w:sz w:val="24"/>
        </w:rPr>
        <w:t>续上表</w:t>
      </w:r>
    </w:p>
    <w:tbl>
      <w:tblPr>
        <w:tblStyle w:val="8"/>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687"/>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927" w:type="dxa"/>
            <w:gridSpan w:val="5"/>
            <w:noWrap w:val="0"/>
            <w:vAlign w:val="center"/>
          </w:tcPr>
          <w:p>
            <w:pPr>
              <w:pStyle w:val="6"/>
              <w:snapToGrid w:val="0"/>
              <w:spacing w:line="320" w:lineRule="exact"/>
              <w:jc w:val="center"/>
              <w:rPr>
                <w:rFonts w:hAnsi="宋体"/>
              </w:rPr>
            </w:pPr>
            <w:r>
              <w:rPr>
                <w:rFonts w:hint="eastAsia" w:hAnsi="宋体"/>
              </w:rPr>
              <w:t>评分因素与权重分值</w:t>
            </w:r>
          </w:p>
        </w:tc>
        <w:tc>
          <w:tcPr>
            <w:tcW w:w="5725" w:type="dxa"/>
            <w:vMerge w:val="restart"/>
            <w:noWrap w:val="0"/>
            <w:vAlign w:val="center"/>
          </w:tcPr>
          <w:p>
            <w:pPr>
              <w:pStyle w:val="6"/>
              <w:snapToGrid w:val="0"/>
              <w:spacing w:line="320" w:lineRule="exact"/>
              <w:jc w:val="center"/>
              <w:rPr>
                <w:rFonts w:hAnsi="宋体"/>
              </w:rPr>
            </w:pPr>
            <w:r>
              <w:rPr>
                <w:rFonts w:hint="eastAsia"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jc w:val="center"/>
              <w:rPr>
                <w:rFonts w:hAnsi="宋体"/>
              </w:rPr>
            </w:pPr>
            <w:r>
              <w:rPr>
                <w:rFonts w:hint="eastAsia" w:hAnsi="宋体"/>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jc w:val="center"/>
              <w:rPr>
                <w:rFonts w:hAnsi="宋体"/>
              </w:rPr>
            </w:pPr>
            <w:r>
              <w:rPr>
                <w:rFonts w:hint="eastAsia" w:hAnsi="宋体"/>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ind w:left="-40" w:leftChars="-19" w:right="-31" w:rightChars="-15" w:firstLine="1"/>
              <w:jc w:val="center"/>
              <w:rPr>
                <w:rFonts w:hAnsi="宋体"/>
              </w:rPr>
            </w:pPr>
            <w:r>
              <w:rPr>
                <w:rFonts w:hint="eastAsia" w:hAnsi="宋体"/>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20" w:lineRule="exact"/>
              <w:jc w:val="center"/>
              <w:rPr>
                <w:rFonts w:hAnsi="宋体"/>
              </w:rPr>
            </w:pPr>
            <w:r>
              <w:rPr>
                <w:rStyle w:val="13"/>
                <w:color w:val="auto"/>
              </w:rPr>
              <w:t>各评分因素细分项</w:t>
            </w:r>
          </w:p>
        </w:tc>
        <w:tc>
          <w:tcPr>
            <w:tcW w:w="687" w:type="dxa"/>
            <w:tcBorders>
              <w:left w:val="single" w:color="auto" w:sz="4" w:space="0"/>
            </w:tcBorders>
            <w:noWrap w:val="0"/>
            <w:vAlign w:val="center"/>
          </w:tcPr>
          <w:p>
            <w:pPr>
              <w:pStyle w:val="6"/>
              <w:snapToGrid w:val="0"/>
              <w:spacing w:line="320" w:lineRule="exact"/>
              <w:jc w:val="center"/>
              <w:rPr>
                <w:rFonts w:hAnsi="宋体"/>
              </w:rPr>
            </w:pPr>
            <w:r>
              <w:rPr>
                <w:rFonts w:hint="eastAsia" w:hAnsi="宋体"/>
              </w:rPr>
              <w:t>分值</w:t>
            </w:r>
          </w:p>
        </w:tc>
        <w:tc>
          <w:tcPr>
            <w:tcW w:w="5725" w:type="dxa"/>
            <w:vMerge w:val="continue"/>
            <w:noWrap w:val="0"/>
            <w:vAlign w:val="center"/>
          </w:tcPr>
          <w:p>
            <w:pPr>
              <w:pStyle w:val="6"/>
              <w:snapToGrid w:val="0"/>
              <w:spacing w:line="32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restart"/>
            <w:tcBorders>
              <w:top w:val="single" w:color="auto" w:sz="4" w:space="0"/>
            </w:tcBorders>
            <w:noWrap w:val="0"/>
            <w:vAlign w:val="center"/>
          </w:tcPr>
          <w:p>
            <w:pPr>
              <w:pStyle w:val="6"/>
              <w:snapToGrid w:val="0"/>
              <w:spacing w:line="320" w:lineRule="exact"/>
              <w:jc w:val="center"/>
              <w:rPr>
                <w:rFonts w:hAnsi="宋体"/>
              </w:rPr>
            </w:pPr>
            <w:r>
              <w:rPr>
                <w:rFonts w:hint="eastAsia" w:hAnsi="宋体"/>
              </w:rPr>
              <w:t>2.2.4（1）</w:t>
            </w:r>
          </w:p>
        </w:tc>
        <w:tc>
          <w:tcPr>
            <w:tcW w:w="741" w:type="dxa"/>
            <w:vMerge w:val="restart"/>
            <w:tcBorders>
              <w:top w:val="single" w:color="auto" w:sz="4" w:space="0"/>
            </w:tcBorders>
            <w:noWrap w:val="0"/>
            <w:vAlign w:val="center"/>
          </w:tcPr>
          <w:p>
            <w:pPr>
              <w:pStyle w:val="6"/>
              <w:snapToGrid w:val="0"/>
              <w:spacing w:line="320" w:lineRule="exact"/>
              <w:jc w:val="center"/>
              <w:rPr>
                <w:rFonts w:hAnsi="宋体"/>
              </w:rPr>
            </w:pPr>
            <w:r>
              <w:rPr>
                <w:rFonts w:hint="eastAsia" w:hAnsi="宋体" w:cs="宋体"/>
              </w:rPr>
              <w:t>技术建议书</w:t>
            </w:r>
          </w:p>
        </w:tc>
        <w:tc>
          <w:tcPr>
            <w:tcW w:w="624" w:type="dxa"/>
            <w:vMerge w:val="restart"/>
            <w:tcBorders>
              <w:top w:val="single" w:color="auto" w:sz="4" w:space="0"/>
            </w:tcBorders>
            <w:noWrap w:val="0"/>
            <w:vAlign w:val="center"/>
          </w:tcPr>
          <w:p>
            <w:pPr>
              <w:pStyle w:val="6"/>
              <w:snapToGrid w:val="0"/>
              <w:spacing w:line="320" w:lineRule="exact"/>
              <w:jc w:val="center"/>
              <w:rPr>
                <w:rFonts w:hAnsi="宋体"/>
              </w:rPr>
            </w:pPr>
            <w:r>
              <w:rPr>
                <w:rFonts w:hint="eastAsia" w:hAnsi="宋体"/>
              </w:rPr>
              <w:t>40分</w:t>
            </w: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rPr>
            </w:pPr>
            <w:r>
              <w:rPr>
                <w:rFonts w:hint="eastAsia" w:hAnsi="宋体"/>
              </w:rPr>
              <w:t>对本项目的特点、关键技术问题的认识及其对策措施</w:t>
            </w:r>
          </w:p>
        </w:tc>
        <w:tc>
          <w:tcPr>
            <w:tcW w:w="687" w:type="dxa"/>
            <w:vMerge w:val="restart"/>
            <w:noWrap w:val="0"/>
            <w:vAlign w:val="center"/>
          </w:tcPr>
          <w:p>
            <w:pPr>
              <w:pStyle w:val="6"/>
              <w:spacing w:line="160" w:lineRule="atLeast"/>
              <w:jc w:val="center"/>
              <w:rPr>
                <w:rFonts w:hAnsi="宋体" w:cs="宋体"/>
              </w:rPr>
            </w:pPr>
            <w:r>
              <w:rPr>
                <w:rFonts w:hint="eastAsia" w:hAnsi="宋体"/>
              </w:rPr>
              <w:t>15分</w:t>
            </w:r>
          </w:p>
        </w:tc>
        <w:tc>
          <w:tcPr>
            <w:tcW w:w="5725" w:type="dxa"/>
            <w:noWrap w:val="0"/>
            <w:vAlign w:val="center"/>
          </w:tcPr>
          <w:p>
            <w:pPr>
              <w:pStyle w:val="6"/>
              <w:spacing w:line="380" w:lineRule="exact"/>
              <w:jc w:val="left"/>
              <w:rPr>
                <w:rFonts w:hint="eastAsia" w:hAnsi="宋体" w:cs="宋体"/>
              </w:rPr>
            </w:pPr>
            <w:r>
              <w:rPr>
                <w:rFonts w:hint="eastAsia" w:hAnsi="宋体"/>
              </w:rPr>
              <w:t>项目的特点和关键技术问题的针对性一般，技术建议基本可行，得9分；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1" w:type="dxa"/>
            <w:vMerge w:val="continue"/>
            <w:noWrap w:val="0"/>
            <w:vAlign w:val="center"/>
          </w:tcPr>
          <w:p>
            <w:pPr>
              <w:pStyle w:val="6"/>
              <w:snapToGrid w:val="0"/>
              <w:spacing w:line="320" w:lineRule="exact"/>
              <w:jc w:val="center"/>
              <w:rPr>
                <w:rFonts w:hint="eastAsia" w:hAnsi="宋体"/>
              </w:rPr>
            </w:pPr>
          </w:p>
        </w:tc>
        <w:tc>
          <w:tcPr>
            <w:tcW w:w="741" w:type="dxa"/>
            <w:vMerge w:val="continue"/>
            <w:noWrap w:val="0"/>
            <w:vAlign w:val="center"/>
          </w:tcPr>
          <w:p>
            <w:pPr>
              <w:pStyle w:val="6"/>
              <w:snapToGrid w:val="0"/>
              <w:spacing w:line="320" w:lineRule="exact"/>
              <w:jc w:val="center"/>
              <w:rPr>
                <w:rFonts w:hint="eastAsia" w:hAnsi="宋体" w:cs="宋体"/>
              </w:rPr>
            </w:pPr>
          </w:p>
        </w:tc>
        <w:tc>
          <w:tcPr>
            <w:tcW w:w="624" w:type="dxa"/>
            <w:vMerge w:val="continue"/>
            <w:noWrap w:val="0"/>
            <w:vAlign w:val="center"/>
          </w:tcPr>
          <w:p>
            <w:pPr>
              <w:pStyle w:val="6"/>
              <w:snapToGrid w:val="0"/>
              <w:spacing w:line="320" w:lineRule="exact"/>
              <w:jc w:val="center"/>
              <w:rPr>
                <w:rFonts w:hint="eastAsia" w:hAnsi="宋体"/>
              </w:rPr>
            </w:pPr>
          </w:p>
        </w:tc>
        <w:tc>
          <w:tcPr>
            <w:tcW w:w="1134" w:type="dxa"/>
            <w:vMerge w:val="continue"/>
            <w:noWrap w:val="0"/>
            <w:vAlign w:val="center"/>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pStyle w:val="6"/>
              <w:spacing w:line="380" w:lineRule="exact"/>
              <w:jc w:val="left"/>
              <w:rPr>
                <w:rFonts w:hint="eastAsia" w:hAnsi="宋体" w:cs="宋体"/>
              </w:rPr>
            </w:pPr>
            <w:r>
              <w:rPr>
                <w:rFonts w:hint="eastAsia" w:hAnsi="宋体"/>
              </w:rPr>
              <w:t>项目的特点和关键技术问题针对性较强，技术建议可行，得9－12分；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1" w:type="dxa"/>
            <w:vMerge w:val="continue"/>
            <w:noWrap w:val="0"/>
            <w:vAlign w:val="center"/>
          </w:tcPr>
          <w:p>
            <w:pPr>
              <w:pStyle w:val="6"/>
              <w:snapToGrid w:val="0"/>
              <w:spacing w:line="320" w:lineRule="exact"/>
              <w:jc w:val="center"/>
              <w:rPr>
                <w:rFonts w:hint="eastAsia" w:hAnsi="宋体"/>
              </w:rPr>
            </w:pPr>
          </w:p>
        </w:tc>
        <w:tc>
          <w:tcPr>
            <w:tcW w:w="741" w:type="dxa"/>
            <w:vMerge w:val="continue"/>
            <w:noWrap w:val="0"/>
            <w:vAlign w:val="center"/>
          </w:tcPr>
          <w:p>
            <w:pPr>
              <w:pStyle w:val="6"/>
              <w:snapToGrid w:val="0"/>
              <w:spacing w:line="320" w:lineRule="exact"/>
              <w:jc w:val="center"/>
              <w:rPr>
                <w:rFonts w:hint="eastAsia" w:hAnsi="宋体" w:cs="宋体"/>
              </w:rPr>
            </w:pPr>
          </w:p>
        </w:tc>
        <w:tc>
          <w:tcPr>
            <w:tcW w:w="624" w:type="dxa"/>
            <w:vMerge w:val="continue"/>
            <w:noWrap w:val="0"/>
            <w:vAlign w:val="center"/>
          </w:tcPr>
          <w:p>
            <w:pPr>
              <w:pStyle w:val="6"/>
              <w:snapToGrid w:val="0"/>
              <w:spacing w:line="320" w:lineRule="exact"/>
              <w:jc w:val="center"/>
              <w:rPr>
                <w:rFonts w:hint="eastAsia" w:hAnsi="宋体"/>
              </w:rPr>
            </w:pPr>
          </w:p>
        </w:tc>
        <w:tc>
          <w:tcPr>
            <w:tcW w:w="1134" w:type="dxa"/>
            <w:vMerge w:val="continue"/>
            <w:noWrap w:val="0"/>
            <w:vAlign w:val="center"/>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pStyle w:val="6"/>
              <w:spacing w:line="380" w:lineRule="exact"/>
              <w:jc w:val="left"/>
              <w:rPr>
                <w:rFonts w:hint="eastAsia" w:hAnsi="宋体" w:cs="宋体"/>
              </w:rPr>
            </w:pPr>
            <w:r>
              <w:rPr>
                <w:rFonts w:hint="eastAsia" w:hAnsi="宋体"/>
              </w:rPr>
              <w:t>项目的特点针对性强，关键技术问题对策明确、合理，技术建议科学、有效、可行，得12－15分。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rPr>
            </w:pPr>
            <w:r>
              <w:rPr>
                <w:rFonts w:hint="eastAsia" w:hAnsi="宋体"/>
              </w:rPr>
              <w:t>工作量及计划安排</w:t>
            </w:r>
          </w:p>
        </w:tc>
        <w:tc>
          <w:tcPr>
            <w:tcW w:w="687" w:type="dxa"/>
            <w:vMerge w:val="restart"/>
            <w:noWrap w:val="0"/>
            <w:vAlign w:val="center"/>
          </w:tcPr>
          <w:p>
            <w:pPr>
              <w:pStyle w:val="6"/>
              <w:spacing w:line="160" w:lineRule="atLeast"/>
              <w:jc w:val="center"/>
              <w:rPr>
                <w:rFonts w:hAnsi="宋体" w:cs="宋体"/>
              </w:rPr>
            </w:pPr>
            <w:r>
              <w:rPr>
                <w:rFonts w:hint="eastAsia" w:hAnsi="宋体"/>
              </w:rPr>
              <w:t>10分</w:t>
            </w:r>
          </w:p>
        </w:tc>
        <w:tc>
          <w:tcPr>
            <w:tcW w:w="5725" w:type="dxa"/>
            <w:noWrap w:val="0"/>
            <w:vAlign w:val="center"/>
          </w:tcPr>
          <w:p>
            <w:pPr>
              <w:pStyle w:val="6"/>
              <w:spacing w:line="380" w:lineRule="exact"/>
              <w:jc w:val="left"/>
              <w:rPr>
                <w:rFonts w:hint="eastAsia" w:hAnsi="宋体" w:cs="宋体"/>
              </w:rPr>
            </w:pPr>
            <w:r>
              <w:rPr>
                <w:rFonts w:hint="eastAsia" w:hAnsi="宋体"/>
              </w:rPr>
              <w:t>工作量及计划安排基本合理，得6分；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continue"/>
            <w:noWrap w:val="0"/>
            <w:vAlign w:val="top"/>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pStyle w:val="6"/>
              <w:spacing w:line="380" w:lineRule="exact"/>
              <w:jc w:val="left"/>
              <w:rPr>
                <w:rFonts w:hint="eastAsia" w:hAnsi="宋体" w:cs="宋体"/>
              </w:rPr>
            </w:pPr>
            <w:r>
              <w:rPr>
                <w:rFonts w:hint="eastAsia" w:hAnsi="宋体"/>
              </w:rPr>
              <w:t>工作量及计划安排合理，得</w:t>
            </w:r>
            <w:r>
              <w:rPr>
                <w:rFonts w:hint="eastAsia" w:hAnsi="宋体"/>
                <w:spacing w:val="-4"/>
              </w:rPr>
              <w:t>6</w:t>
            </w:r>
            <w:r>
              <w:rPr>
                <w:rFonts w:hAnsi="宋体"/>
                <w:spacing w:val="-4"/>
              </w:rPr>
              <w:t>-</w:t>
            </w:r>
            <w:r>
              <w:rPr>
                <w:rFonts w:hint="eastAsia" w:hAnsi="宋体"/>
                <w:spacing w:val="-4"/>
              </w:rPr>
              <w:t>8</w:t>
            </w:r>
            <w:r>
              <w:rPr>
                <w:rFonts w:hint="eastAsia"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continue"/>
            <w:noWrap w:val="0"/>
            <w:vAlign w:val="top"/>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pStyle w:val="6"/>
              <w:spacing w:line="380" w:lineRule="exact"/>
              <w:jc w:val="left"/>
              <w:rPr>
                <w:rFonts w:hint="eastAsia" w:hAnsi="宋体" w:cs="宋体"/>
              </w:rPr>
            </w:pPr>
            <w:r>
              <w:rPr>
                <w:rFonts w:hint="eastAsia" w:hAnsi="宋体"/>
              </w:rPr>
              <w:t>工作量及计划安排科学，安排周密，得8－10分。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rPr>
            </w:pPr>
            <w:r>
              <w:rPr>
                <w:rFonts w:hint="eastAsia" w:hAnsi="宋体"/>
              </w:rPr>
              <w:t>服务保证措施、进度保证措施</w:t>
            </w:r>
          </w:p>
        </w:tc>
        <w:tc>
          <w:tcPr>
            <w:tcW w:w="687" w:type="dxa"/>
            <w:vMerge w:val="restart"/>
            <w:noWrap w:val="0"/>
            <w:vAlign w:val="center"/>
          </w:tcPr>
          <w:p>
            <w:pPr>
              <w:pStyle w:val="6"/>
              <w:spacing w:line="160" w:lineRule="atLeast"/>
              <w:jc w:val="center"/>
              <w:rPr>
                <w:rFonts w:hAnsi="宋体" w:cs="宋体"/>
              </w:rPr>
            </w:pPr>
            <w:r>
              <w:rPr>
                <w:rFonts w:hint="eastAsia" w:hAnsi="宋体"/>
              </w:rPr>
              <w:t>10分</w:t>
            </w:r>
          </w:p>
        </w:tc>
        <w:tc>
          <w:tcPr>
            <w:tcW w:w="5725" w:type="dxa"/>
            <w:noWrap w:val="0"/>
            <w:vAlign w:val="center"/>
          </w:tcPr>
          <w:p>
            <w:pPr>
              <w:pStyle w:val="6"/>
              <w:spacing w:line="380" w:lineRule="exact"/>
              <w:jc w:val="left"/>
              <w:rPr>
                <w:rFonts w:hint="eastAsia" w:hAnsi="宋体" w:cs="宋体"/>
              </w:rPr>
            </w:pPr>
            <w:r>
              <w:rPr>
                <w:rFonts w:hint="eastAsia" w:hAnsi="宋体"/>
              </w:rPr>
              <w:t>服务及进度保证措施不够具体，可实施性一般，得6分；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continue"/>
            <w:noWrap w:val="0"/>
            <w:vAlign w:val="top"/>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pStyle w:val="6"/>
              <w:spacing w:line="380" w:lineRule="exact"/>
              <w:jc w:val="left"/>
              <w:rPr>
                <w:rFonts w:hint="eastAsia" w:hAnsi="宋体" w:cs="宋体"/>
              </w:rPr>
            </w:pPr>
            <w:r>
              <w:rPr>
                <w:rFonts w:hint="eastAsia" w:hAnsi="宋体"/>
              </w:rPr>
              <w:t>服务及进度保证措施较具体，可实施性较强，得6－8分；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continue"/>
            <w:noWrap w:val="0"/>
            <w:vAlign w:val="top"/>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pStyle w:val="6"/>
              <w:spacing w:line="380" w:lineRule="exact"/>
              <w:jc w:val="left"/>
              <w:rPr>
                <w:rFonts w:hint="eastAsia" w:hAnsi="宋体" w:cs="宋体"/>
              </w:rPr>
            </w:pPr>
            <w:r>
              <w:rPr>
                <w:rFonts w:hint="eastAsia" w:hAnsi="宋体"/>
                <w:spacing w:val="-10"/>
              </w:rPr>
              <w:t>服务及进度保证措施具体可靠，可实施性强，适合本项目，得8－10分。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741" w:type="dxa"/>
            <w:vMerge w:val="continue"/>
            <w:tcBorders>
              <w:top w:val="single" w:color="auto" w:sz="4" w:space="0"/>
            </w:tcBorders>
            <w:noWrap w:val="0"/>
            <w:vAlign w:val="center"/>
          </w:tcPr>
          <w:p>
            <w:pPr>
              <w:pStyle w:val="6"/>
              <w:snapToGrid w:val="0"/>
              <w:spacing w:line="320" w:lineRule="exact"/>
              <w:jc w:val="center"/>
              <w:rPr>
                <w:rFonts w:hint="eastAsia" w:hAnsi="宋体"/>
              </w:rPr>
            </w:pPr>
          </w:p>
        </w:tc>
        <w:tc>
          <w:tcPr>
            <w:tcW w:w="624" w:type="dxa"/>
            <w:vMerge w:val="continue"/>
            <w:tcBorders>
              <w:top w:val="single" w:color="auto" w:sz="4" w:space="0"/>
            </w:tcBorders>
            <w:noWrap w:val="0"/>
            <w:vAlign w:val="center"/>
          </w:tcPr>
          <w:p>
            <w:pPr>
              <w:pStyle w:val="6"/>
              <w:snapToGrid w:val="0"/>
              <w:spacing w:line="320" w:lineRule="exact"/>
              <w:jc w:val="center"/>
              <w:rPr>
                <w:rFonts w:hAnsi="宋体"/>
              </w:rPr>
            </w:pP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rPr>
            </w:pPr>
            <w:r>
              <w:rPr>
                <w:rFonts w:hint="eastAsia" w:hAnsi="宋体"/>
              </w:rPr>
              <w:t>后续服务的承诺及保证措施</w:t>
            </w:r>
          </w:p>
        </w:tc>
        <w:tc>
          <w:tcPr>
            <w:tcW w:w="687" w:type="dxa"/>
            <w:vMerge w:val="restart"/>
            <w:noWrap w:val="0"/>
            <w:vAlign w:val="center"/>
          </w:tcPr>
          <w:p>
            <w:pPr>
              <w:pStyle w:val="6"/>
              <w:spacing w:line="160" w:lineRule="atLeast"/>
              <w:jc w:val="center"/>
              <w:rPr>
                <w:rFonts w:hAnsi="宋体" w:cs="宋体"/>
              </w:rPr>
            </w:pPr>
            <w:r>
              <w:rPr>
                <w:rFonts w:hint="eastAsia" w:hAnsi="宋体"/>
              </w:rPr>
              <w:t>5分</w:t>
            </w:r>
          </w:p>
        </w:tc>
        <w:tc>
          <w:tcPr>
            <w:tcW w:w="5725" w:type="dxa"/>
            <w:noWrap w:val="0"/>
            <w:vAlign w:val="center"/>
          </w:tcPr>
          <w:p>
            <w:pPr>
              <w:spacing w:line="380" w:lineRule="exact"/>
              <w:jc w:val="left"/>
              <w:rPr>
                <w:rFonts w:hint="eastAsia" w:ascii="宋体" w:hAnsi="宋体" w:cs="宋体"/>
                <w:szCs w:val="21"/>
              </w:rPr>
            </w:pPr>
            <w:r>
              <w:rPr>
                <w:rFonts w:hint="eastAsia" w:ascii="宋体" w:hAnsi="宋体"/>
                <w:szCs w:val="21"/>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1" w:type="dxa"/>
            <w:vMerge w:val="continue"/>
            <w:noWrap w:val="0"/>
            <w:vAlign w:val="center"/>
          </w:tcPr>
          <w:p>
            <w:pPr>
              <w:pStyle w:val="6"/>
              <w:snapToGrid w:val="0"/>
              <w:spacing w:line="320" w:lineRule="exact"/>
              <w:jc w:val="center"/>
              <w:rPr>
                <w:rFonts w:hint="eastAsia" w:hAnsi="宋体"/>
              </w:rPr>
            </w:pPr>
          </w:p>
        </w:tc>
        <w:tc>
          <w:tcPr>
            <w:tcW w:w="741" w:type="dxa"/>
            <w:vMerge w:val="continue"/>
            <w:noWrap w:val="0"/>
            <w:vAlign w:val="center"/>
          </w:tcPr>
          <w:p>
            <w:pPr>
              <w:pStyle w:val="6"/>
              <w:snapToGrid w:val="0"/>
              <w:spacing w:line="320" w:lineRule="exact"/>
              <w:jc w:val="center"/>
              <w:rPr>
                <w:rFonts w:hint="eastAsia" w:hAnsi="宋体"/>
              </w:rPr>
            </w:pPr>
          </w:p>
        </w:tc>
        <w:tc>
          <w:tcPr>
            <w:tcW w:w="624" w:type="dxa"/>
            <w:vMerge w:val="continue"/>
            <w:noWrap w:val="0"/>
            <w:vAlign w:val="center"/>
          </w:tcPr>
          <w:p>
            <w:pPr>
              <w:pStyle w:val="6"/>
              <w:snapToGrid w:val="0"/>
              <w:spacing w:line="320" w:lineRule="exact"/>
              <w:jc w:val="center"/>
              <w:rPr>
                <w:rFonts w:hAnsi="宋体"/>
              </w:rPr>
            </w:pPr>
          </w:p>
        </w:tc>
        <w:tc>
          <w:tcPr>
            <w:tcW w:w="1134" w:type="dxa"/>
            <w:vMerge w:val="continue"/>
            <w:noWrap w:val="0"/>
            <w:vAlign w:val="center"/>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spacing w:line="380" w:lineRule="exact"/>
              <w:jc w:val="left"/>
              <w:rPr>
                <w:rFonts w:hint="eastAsia" w:ascii="宋体" w:hAnsi="宋体" w:cs="宋体"/>
                <w:szCs w:val="21"/>
              </w:rPr>
            </w:pPr>
            <w:r>
              <w:rPr>
                <w:rFonts w:hint="eastAsia" w:ascii="宋体" w:hAnsi="宋体"/>
                <w:szCs w:val="21"/>
              </w:rPr>
              <w:t>投标人对于后续服务的承诺及保证措施安排较完善，得3</w:t>
            </w:r>
            <w:r>
              <w:rPr>
                <w:rFonts w:ascii="宋体" w:hAnsi="宋体"/>
                <w:szCs w:val="21"/>
              </w:rPr>
              <w:t>-</w:t>
            </w: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1" w:type="dxa"/>
            <w:vMerge w:val="continue"/>
            <w:noWrap w:val="0"/>
            <w:vAlign w:val="center"/>
          </w:tcPr>
          <w:p>
            <w:pPr>
              <w:pStyle w:val="6"/>
              <w:snapToGrid w:val="0"/>
              <w:spacing w:line="320" w:lineRule="exact"/>
              <w:jc w:val="center"/>
              <w:rPr>
                <w:rFonts w:hint="eastAsia" w:hAnsi="宋体"/>
              </w:rPr>
            </w:pPr>
          </w:p>
        </w:tc>
        <w:tc>
          <w:tcPr>
            <w:tcW w:w="741" w:type="dxa"/>
            <w:vMerge w:val="continue"/>
            <w:noWrap w:val="0"/>
            <w:vAlign w:val="center"/>
          </w:tcPr>
          <w:p>
            <w:pPr>
              <w:pStyle w:val="6"/>
              <w:snapToGrid w:val="0"/>
              <w:spacing w:line="320" w:lineRule="exact"/>
              <w:jc w:val="center"/>
              <w:rPr>
                <w:rFonts w:hint="eastAsia" w:hAnsi="宋体"/>
              </w:rPr>
            </w:pPr>
          </w:p>
        </w:tc>
        <w:tc>
          <w:tcPr>
            <w:tcW w:w="624" w:type="dxa"/>
            <w:vMerge w:val="continue"/>
            <w:noWrap w:val="0"/>
            <w:vAlign w:val="center"/>
          </w:tcPr>
          <w:p>
            <w:pPr>
              <w:pStyle w:val="6"/>
              <w:snapToGrid w:val="0"/>
              <w:spacing w:line="320" w:lineRule="exact"/>
              <w:jc w:val="center"/>
              <w:rPr>
                <w:rFonts w:hAnsi="宋体"/>
              </w:rPr>
            </w:pPr>
          </w:p>
        </w:tc>
        <w:tc>
          <w:tcPr>
            <w:tcW w:w="1134" w:type="dxa"/>
            <w:vMerge w:val="continue"/>
            <w:noWrap w:val="0"/>
            <w:vAlign w:val="center"/>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spacing w:line="380" w:lineRule="exact"/>
              <w:jc w:val="left"/>
              <w:rPr>
                <w:rFonts w:hint="eastAsia" w:ascii="宋体" w:hAnsi="宋体" w:cs="宋体"/>
                <w:szCs w:val="21"/>
              </w:rPr>
            </w:pPr>
            <w:r>
              <w:rPr>
                <w:rFonts w:hint="eastAsia" w:ascii="宋体" w:hAnsi="宋体"/>
                <w:szCs w:val="21"/>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1" w:type="dxa"/>
            <w:vMerge w:val="restart"/>
            <w:tcBorders>
              <w:top w:val="single" w:color="auto" w:sz="4" w:space="0"/>
            </w:tcBorders>
            <w:noWrap w:val="0"/>
            <w:vAlign w:val="center"/>
          </w:tcPr>
          <w:p>
            <w:pPr>
              <w:pStyle w:val="6"/>
              <w:spacing w:line="160" w:lineRule="atLeast"/>
              <w:jc w:val="center"/>
              <w:rPr>
                <w:rFonts w:hint="eastAsia" w:hAnsi="宋体"/>
              </w:rPr>
            </w:pPr>
            <w:r>
              <w:rPr>
                <w:rFonts w:hint="eastAsia" w:hAnsi="宋体"/>
              </w:rPr>
              <w:t>2.2.4（2）</w:t>
            </w:r>
          </w:p>
        </w:tc>
        <w:tc>
          <w:tcPr>
            <w:tcW w:w="741" w:type="dxa"/>
            <w:vMerge w:val="restart"/>
            <w:tcBorders>
              <w:top w:val="single" w:color="auto" w:sz="4" w:space="0"/>
            </w:tcBorders>
            <w:noWrap w:val="0"/>
            <w:vAlign w:val="center"/>
          </w:tcPr>
          <w:p>
            <w:pPr>
              <w:pStyle w:val="6"/>
              <w:spacing w:line="160" w:lineRule="atLeast"/>
              <w:jc w:val="center"/>
              <w:rPr>
                <w:rFonts w:hint="eastAsia" w:hAnsi="宋体"/>
              </w:rPr>
            </w:pPr>
            <w:r>
              <w:rPr>
                <w:rFonts w:hint="eastAsia" w:hAnsi="宋体"/>
              </w:rPr>
              <w:t>主要人员</w:t>
            </w:r>
          </w:p>
        </w:tc>
        <w:tc>
          <w:tcPr>
            <w:tcW w:w="624" w:type="dxa"/>
            <w:vMerge w:val="restart"/>
            <w:tcBorders>
              <w:top w:val="single" w:color="auto" w:sz="4" w:space="0"/>
            </w:tcBorders>
            <w:noWrap w:val="0"/>
            <w:vAlign w:val="center"/>
          </w:tcPr>
          <w:p>
            <w:pPr>
              <w:pStyle w:val="6"/>
              <w:spacing w:line="160" w:lineRule="atLeast"/>
              <w:jc w:val="center"/>
              <w:rPr>
                <w:rFonts w:hAnsi="宋体"/>
              </w:rPr>
            </w:pPr>
            <w:r>
              <w:rPr>
                <w:rFonts w:hint="eastAsia" w:hAnsi="宋体"/>
              </w:rPr>
              <w:t>15分</w:t>
            </w:r>
          </w:p>
        </w:tc>
        <w:tc>
          <w:tcPr>
            <w:tcW w:w="1134" w:type="dxa"/>
            <w:vMerge w:val="restart"/>
            <w:tcBorders>
              <w:top w:val="single" w:color="auto" w:sz="4" w:space="0"/>
            </w:tcBorders>
            <w:noWrap w:val="0"/>
            <w:vAlign w:val="center"/>
          </w:tcPr>
          <w:p>
            <w:pPr>
              <w:pStyle w:val="6"/>
              <w:spacing w:line="160" w:lineRule="atLeast"/>
              <w:jc w:val="center"/>
              <w:rPr>
                <w:rFonts w:hint="eastAsia" w:hAnsi="宋体" w:cs="宋体"/>
              </w:rPr>
            </w:pPr>
            <w:r>
              <w:rPr>
                <w:rFonts w:hAnsi="宋体"/>
              </w:rPr>
              <w:t>项目负责人任职资格与业绩</w:t>
            </w:r>
          </w:p>
        </w:tc>
        <w:tc>
          <w:tcPr>
            <w:tcW w:w="687" w:type="dxa"/>
            <w:vMerge w:val="restart"/>
            <w:noWrap w:val="0"/>
            <w:vAlign w:val="center"/>
          </w:tcPr>
          <w:p>
            <w:pPr>
              <w:pStyle w:val="6"/>
              <w:spacing w:line="160" w:lineRule="atLeast"/>
              <w:jc w:val="center"/>
              <w:rPr>
                <w:rFonts w:hAnsi="宋体" w:cs="宋体"/>
              </w:rPr>
            </w:pPr>
            <w:r>
              <w:rPr>
                <w:rFonts w:hAnsi="宋体"/>
              </w:rPr>
              <w:t>15</w:t>
            </w:r>
            <w:r>
              <w:rPr>
                <w:rFonts w:hint="eastAsia" w:hAnsi="宋体"/>
              </w:rPr>
              <w:t>分</w:t>
            </w:r>
          </w:p>
        </w:tc>
        <w:tc>
          <w:tcPr>
            <w:tcW w:w="5725" w:type="dxa"/>
            <w:noWrap w:val="0"/>
            <w:vAlign w:val="center"/>
          </w:tcPr>
          <w:p>
            <w:pPr>
              <w:spacing w:line="380" w:lineRule="exact"/>
              <w:jc w:val="left"/>
              <w:rPr>
                <w:rFonts w:hint="eastAsia" w:ascii="宋体" w:hAnsi="宋体" w:cs="宋体"/>
                <w:szCs w:val="21"/>
              </w:rPr>
            </w:pPr>
            <w:r>
              <w:rPr>
                <w:rFonts w:hint="eastAsia" w:ascii="宋体" w:hAnsi="宋体"/>
                <w:szCs w:val="21"/>
              </w:rPr>
              <w:t>满足</w:t>
            </w:r>
            <w:r>
              <w:rPr>
                <w:rFonts w:hint="eastAsia" w:ascii="宋体" w:hAnsi="宋体"/>
                <w:szCs w:val="21"/>
                <w:lang w:val="en-US" w:eastAsia="zh-CN"/>
              </w:rPr>
              <w:t>附录4</w:t>
            </w:r>
            <w:r>
              <w:rPr>
                <w:rFonts w:hint="eastAsia" w:ascii="宋体" w:hAnsi="宋体"/>
                <w:szCs w:val="21"/>
              </w:rPr>
              <w:t>资格审查条件（项目负责人最低要求）的，得</w:t>
            </w:r>
            <w:r>
              <w:rPr>
                <w:rFonts w:ascii="宋体" w:hAnsi="宋体"/>
                <w:szCs w:val="21"/>
              </w:rPr>
              <w:t>9</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1" w:type="dxa"/>
            <w:vMerge w:val="continue"/>
            <w:noWrap w:val="0"/>
            <w:vAlign w:val="center"/>
          </w:tcPr>
          <w:p>
            <w:pPr>
              <w:pStyle w:val="6"/>
              <w:snapToGrid w:val="0"/>
              <w:spacing w:line="320" w:lineRule="exact"/>
              <w:jc w:val="center"/>
              <w:rPr>
                <w:rFonts w:hint="eastAsia" w:hAnsi="宋体"/>
              </w:rPr>
            </w:pPr>
          </w:p>
        </w:tc>
        <w:tc>
          <w:tcPr>
            <w:tcW w:w="741" w:type="dxa"/>
            <w:vMerge w:val="continue"/>
            <w:noWrap w:val="0"/>
            <w:vAlign w:val="center"/>
          </w:tcPr>
          <w:p>
            <w:pPr>
              <w:pStyle w:val="6"/>
              <w:snapToGrid w:val="0"/>
              <w:spacing w:line="320" w:lineRule="exact"/>
              <w:jc w:val="center"/>
              <w:rPr>
                <w:rFonts w:hint="eastAsia" w:hAnsi="宋体"/>
              </w:rPr>
            </w:pPr>
          </w:p>
        </w:tc>
        <w:tc>
          <w:tcPr>
            <w:tcW w:w="624" w:type="dxa"/>
            <w:vMerge w:val="continue"/>
            <w:noWrap w:val="0"/>
            <w:vAlign w:val="center"/>
          </w:tcPr>
          <w:p>
            <w:pPr>
              <w:pStyle w:val="6"/>
              <w:snapToGrid w:val="0"/>
              <w:spacing w:line="320" w:lineRule="exact"/>
              <w:jc w:val="center"/>
              <w:rPr>
                <w:rFonts w:hAnsi="宋体"/>
              </w:rPr>
            </w:pPr>
          </w:p>
        </w:tc>
        <w:tc>
          <w:tcPr>
            <w:tcW w:w="1134" w:type="dxa"/>
            <w:vMerge w:val="continue"/>
            <w:noWrap w:val="0"/>
            <w:vAlign w:val="center"/>
          </w:tcPr>
          <w:p>
            <w:pPr>
              <w:pStyle w:val="6"/>
              <w:spacing w:line="160" w:lineRule="atLeast"/>
              <w:jc w:val="center"/>
              <w:rPr>
                <w:rFonts w:hint="eastAsia" w:hAnsi="宋体" w:cs="宋体"/>
              </w:rPr>
            </w:pPr>
          </w:p>
        </w:tc>
        <w:tc>
          <w:tcPr>
            <w:tcW w:w="687" w:type="dxa"/>
            <w:vMerge w:val="continue"/>
            <w:noWrap w:val="0"/>
            <w:vAlign w:val="center"/>
          </w:tcPr>
          <w:p>
            <w:pPr>
              <w:pStyle w:val="6"/>
              <w:spacing w:line="160" w:lineRule="atLeast"/>
              <w:jc w:val="center"/>
              <w:rPr>
                <w:rFonts w:hAnsi="宋体" w:cs="宋体"/>
              </w:rPr>
            </w:pPr>
          </w:p>
        </w:tc>
        <w:tc>
          <w:tcPr>
            <w:tcW w:w="5725" w:type="dxa"/>
            <w:noWrap w:val="0"/>
            <w:vAlign w:val="center"/>
          </w:tcPr>
          <w:p>
            <w:pPr>
              <w:spacing w:line="380" w:lineRule="exact"/>
              <w:jc w:val="left"/>
              <w:rPr>
                <w:rFonts w:hint="eastAsia" w:ascii="宋体" w:hAnsi="宋体" w:cs="宋体"/>
                <w:szCs w:val="21"/>
              </w:rPr>
            </w:pPr>
            <w:r>
              <w:rPr>
                <w:rFonts w:hint="eastAsia" w:ascii="宋体" w:hAnsi="宋体"/>
                <w:szCs w:val="21"/>
              </w:rPr>
              <w:t>每增加</w:t>
            </w:r>
            <w:r>
              <w:rPr>
                <w:rFonts w:hint="eastAsia" w:ascii="宋体" w:hAnsi="宋体"/>
                <w:szCs w:val="21"/>
                <w:lang w:val="en-US" w:eastAsia="zh-CN"/>
              </w:rPr>
              <w:t>1</w:t>
            </w:r>
            <w:r>
              <w:rPr>
                <w:rFonts w:hint="eastAsia" w:ascii="宋体" w:hAnsi="宋体"/>
                <w:szCs w:val="21"/>
              </w:rPr>
              <w:t>项满足</w:t>
            </w:r>
            <w:r>
              <w:rPr>
                <w:rFonts w:hint="eastAsia" w:ascii="宋体" w:hAnsi="宋体"/>
                <w:szCs w:val="21"/>
                <w:lang w:val="en-US" w:eastAsia="zh-CN"/>
              </w:rPr>
              <w:t>附录4</w:t>
            </w:r>
            <w:r>
              <w:rPr>
                <w:rFonts w:hint="eastAsia" w:ascii="宋体" w:hAnsi="宋体"/>
                <w:szCs w:val="21"/>
              </w:rPr>
              <w:t>资格审查条件（项目负责人最低要求）的业绩加3分，本项最多加6分。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1" w:type="dxa"/>
            <w:tcBorders>
              <w:top w:val="nil"/>
            </w:tcBorders>
            <w:noWrap w:val="0"/>
            <w:vAlign w:val="center"/>
          </w:tcPr>
          <w:p>
            <w:pPr>
              <w:pStyle w:val="6"/>
              <w:snapToGrid w:val="0"/>
              <w:spacing w:line="320" w:lineRule="exact"/>
              <w:jc w:val="center"/>
              <w:rPr>
                <w:rFonts w:hAnsi="宋体"/>
              </w:rPr>
            </w:pPr>
            <w:r>
              <w:rPr>
                <w:rFonts w:hint="eastAsia" w:hAnsi="宋体"/>
              </w:rPr>
              <w:t>2.2.4（3）</w:t>
            </w:r>
          </w:p>
        </w:tc>
        <w:tc>
          <w:tcPr>
            <w:tcW w:w="741" w:type="dxa"/>
            <w:tcBorders>
              <w:top w:val="nil"/>
            </w:tcBorders>
            <w:noWrap w:val="0"/>
            <w:vAlign w:val="center"/>
          </w:tcPr>
          <w:p>
            <w:pPr>
              <w:pStyle w:val="6"/>
              <w:snapToGrid w:val="0"/>
              <w:spacing w:line="320" w:lineRule="exact"/>
              <w:jc w:val="center"/>
              <w:rPr>
                <w:rFonts w:hAnsi="宋体"/>
              </w:rPr>
            </w:pPr>
            <w:r>
              <w:rPr>
                <w:rFonts w:hint="eastAsia" w:hAnsi="宋体"/>
              </w:rPr>
              <w:t>评标价</w:t>
            </w:r>
          </w:p>
        </w:tc>
        <w:tc>
          <w:tcPr>
            <w:tcW w:w="624" w:type="dxa"/>
            <w:tcBorders>
              <w:top w:val="nil"/>
              <w:bottom w:val="single" w:color="auto" w:sz="4" w:space="0"/>
            </w:tcBorders>
            <w:noWrap w:val="0"/>
            <w:vAlign w:val="center"/>
          </w:tcPr>
          <w:p>
            <w:pPr>
              <w:pStyle w:val="6"/>
              <w:snapToGrid w:val="0"/>
              <w:spacing w:line="320" w:lineRule="exact"/>
              <w:jc w:val="center"/>
              <w:rPr>
                <w:rFonts w:hAnsi="宋体"/>
              </w:rPr>
            </w:pPr>
            <w:r>
              <w:rPr>
                <w:rFonts w:hint="eastAsia" w:hAnsi="宋体"/>
              </w:rPr>
              <w:t>30分</w:t>
            </w:r>
          </w:p>
        </w:tc>
        <w:tc>
          <w:tcPr>
            <w:tcW w:w="7546" w:type="dxa"/>
            <w:gridSpan w:val="3"/>
            <w:tcBorders>
              <w:bottom w:val="single" w:color="auto" w:sz="4" w:space="0"/>
            </w:tcBorders>
            <w:noWrap w:val="0"/>
            <w:vAlign w:val="center"/>
          </w:tcPr>
          <w:p>
            <w:pPr>
              <w:snapToGrid w:val="0"/>
              <w:spacing w:line="320" w:lineRule="exact"/>
              <w:rPr>
                <w:rFonts w:ascii="宋体" w:hAnsi="宋体"/>
                <w:szCs w:val="21"/>
              </w:rPr>
            </w:pPr>
            <w:r>
              <w:rPr>
                <w:rFonts w:hint="eastAsia" w:ascii="宋体" w:hAnsi="宋体"/>
                <w:szCs w:val="21"/>
              </w:rPr>
              <w:t>评标价得分计算公式示例：</w:t>
            </w:r>
          </w:p>
          <w:p>
            <w:pPr>
              <w:snapToGrid w:val="0"/>
              <w:spacing w:line="320" w:lineRule="exact"/>
              <w:rPr>
                <w:rFonts w:ascii="宋体" w:hAnsi="宋体"/>
                <w:szCs w:val="21"/>
              </w:rPr>
            </w:pPr>
            <w:r>
              <w:rPr>
                <w:rFonts w:hint="eastAsia" w:ascii="宋体" w:hAnsi="宋体"/>
                <w:szCs w:val="21"/>
              </w:rPr>
              <w:t>（1）如果投标人的评标价＞评标基准价，则评标价得分=F-（投标人评标价-评标基准价）/评标基准价×100×E1；</w:t>
            </w:r>
          </w:p>
          <w:p>
            <w:pPr>
              <w:snapToGrid w:val="0"/>
              <w:spacing w:line="320" w:lineRule="exact"/>
              <w:rPr>
                <w:rFonts w:ascii="宋体" w:hAnsi="宋体"/>
                <w:szCs w:val="21"/>
              </w:rPr>
            </w:pPr>
            <w:r>
              <w:rPr>
                <w:rFonts w:hint="eastAsia" w:ascii="宋体" w:hAnsi="宋体"/>
                <w:szCs w:val="21"/>
              </w:rPr>
              <w:t>（2）如果投标人的评标价≤评标基准价，则评标价得分=F+(投标人评标价-评标基准价)/评标基准价×100×E2。</w:t>
            </w:r>
          </w:p>
          <w:p>
            <w:pPr>
              <w:snapToGrid w:val="0"/>
              <w:spacing w:line="320" w:lineRule="exact"/>
              <w:jc w:val="left"/>
              <w:rPr>
                <w:rFonts w:ascii="宋体" w:hAnsi="宋体"/>
                <w:szCs w:val="21"/>
              </w:rPr>
            </w:pPr>
            <w:r>
              <w:rPr>
                <w:rFonts w:hint="eastAsia" w:ascii="宋体" w:hAnsi="宋体"/>
                <w:szCs w:val="21"/>
              </w:rPr>
              <w:t>其中，F=30；E1=0.2；E2=0.1；评标价最低得分为0分。</w:t>
            </w:r>
          </w:p>
          <w:p>
            <w:pPr>
              <w:snapToGrid w:val="0"/>
              <w:spacing w:line="320" w:lineRule="exact"/>
              <w:jc w:val="left"/>
              <w:rPr>
                <w:rFonts w:hint="eastAsia" w:ascii="宋体" w:hAnsi="宋体"/>
                <w:szCs w:val="21"/>
              </w:rPr>
            </w:pPr>
            <w:r>
              <w:rPr>
                <w:rFonts w:hint="eastAsia" w:ascii="宋体" w:hAnsi="宋体"/>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restart"/>
            <w:noWrap w:val="0"/>
            <w:vAlign w:val="center"/>
          </w:tcPr>
          <w:p>
            <w:pPr>
              <w:pStyle w:val="6"/>
              <w:snapToGrid w:val="0"/>
              <w:spacing w:line="320" w:lineRule="exact"/>
              <w:jc w:val="center"/>
              <w:rPr>
                <w:rFonts w:hAnsi="宋体"/>
              </w:rPr>
            </w:pPr>
            <w:r>
              <w:rPr>
                <w:rFonts w:hint="eastAsia" w:hAnsi="宋体"/>
              </w:rPr>
              <w:t>2.2.4（4）</w:t>
            </w:r>
          </w:p>
        </w:tc>
        <w:tc>
          <w:tcPr>
            <w:tcW w:w="741" w:type="dxa"/>
            <w:vMerge w:val="restart"/>
            <w:noWrap w:val="0"/>
            <w:vAlign w:val="center"/>
          </w:tcPr>
          <w:p>
            <w:pPr>
              <w:pStyle w:val="6"/>
              <w:snapToGrid w:val="0"/>
              <w:spacing w:line="320" w:lineRule="exact"/>
              <w:jc w:val="center"/>
              <w:rPr>
                <w:rFonts w:hAnsi="宋体"/>
              </w:rPr>
            </w:pPr>
            <w:r>
              <w:rPr>
                <w:rFonts w:hint="eastAsia" w:hAnsi="宋体"/>
              </w:rPr>
              <w:t>其他因素</w:t>
            </w:r>
          </w:p>
        </w:tc>
        <w:tc>
          <w:tcPr>
            <w:tcW w:w="624" w:type="dxa"/>
            <w:vMerge w:val="restart"/>
            <w:tcBorders>
              <w:top w:val="single" w:color="auto" w:sz="4" w:space="0"/>
            </w:tcBorders>
            <w:noWrap w:val="0"/>
            <w:vAlign w:val="center"/>
          </w:tcPr>
          <w:p>
            <w:pPr>
              <w:pStyle w:val="6"/>
              <w:snapToGrid w:val="0"/>
              <w:spacing w:line="320" w:lineRule="exact"/>
              <w:jc w:val="center"/>
              <w:rPr>
                <w:rFonts w:hAnsi="宋体"/>
              </w:rPr>
            </w:pPr>
            <w:r>
              <w:rPr>
                <w:rFonts w:hint="eastAsia" w:hAnsi="宋体"/>
              </w:rPr>
              <w:t>15分</w:t>
            </w:r>
          </w:p>
        </w:tc>
        <w:tc>
          <w:tcPr>
            <w:tcW w:w="1134" w:type="dxa"/>
            <w:vMerge w:val="restart"/>
            <w:tcBorders>
              <w:top w:val="single" w:color="auto" w:sz="4" w:space="0"/>
            </w:tcBorders>
            <w:noWrap w:val="0"/>
            <w:vAlign w:val="center"/>
          </w:tcPr>
          <w:p>
            <w:pPr>
              <w:pStyle w:val="6"/>
              <w:snapToGrid w:val="0"/>
              <w:spacing w:line="320" w:lineRule="exact"/>
              <w:jc w:val="center"/>
              <w:rPr>
                <w:rFonts w:hAnsi="宋体"/>
              </w:rPr>
            </w:pPr>
            <w:r>
              <w:rPr>
                <w:rFonts w:hint="eastAsia" w:hAnsi="宋体"/>
              </w:rPr>
              <w:t>企业业绩</w:t>
            </w:r>
          </w:p>
        </w:tc>
        <w:tc>
          <w:tcPr>
            <w:tcW w:w="687" w:type="dxa"/>
            <w:vMerge w:val="restart"/>
            <w:tcBorders>
              <w:top w:val="single" w:color="auto" w:sz="4" w:space="0"/>
            </w:tcBorders>
            <w:noWrap w:val="0"/>
            <w:vAlign w:val="center"/>
          </w:tcPr>
          <w:p>
            <w:pPr>
              <w:pStyle w:val="6"/>
              <w:snapToGrid w:val="0"/>
              <w:spacing w:line="320" w:lineRule="exact"/>
              <w:jc w:val="center"/>
              <w:rPr>
                <w:rFonts w:hAnsi="宋体"/>
              </w:rPr>
            </w:pPr>
            <w:r>
              <w:rPr>
                <w:rFonts w:hint="eastAsia" w:hAnsi="宋体"/>
              </w:rPr>
              <w:t>15分</w:t>
            </w:r>
          </w:p>
        </w:tc>
        <w:tc>
          <w:tcPr>
            <w:tcW w:w="5725" w:type="dxa"/>
            <w:tcBorders>
              <w:top w:val="single" w:color="auto" w:sz="4" w:space="0"/>
              <w:bottom w:val="single" w:color="auto" w:sz="4" w:space="0"/>
            </w:tcBorders>
            <w:noWrap w:val="0"/>
            <w:vAlign w:val="center"/>
          </w:tcPr>
          <w:p>
            <w:pPr>
              <w:snapToGrid w:val="0"/>
              <w:spacing w:line="320" w:lineRule="exact"/>
              <w:rPr>
                <w:rFonts w:hint="eastAsia" w:ascii="宋体" w:hAnsi="宋体"/>
                <w:szCs w:val="21"/>
              </w:rPr>
            </w:pPr>
            <w:r>
              <w:rPr>
                <w:rFonts w:hint="eastAsia" w:ascii="宋体" w:hAnsi="宋体"/>
                <w:szCs w:val="21"/>
              </w:rPr>
              <w:t>满足</w:t>
            </w:r>
            <w:r>
              <w:rPr>
                <w:rFonts w:hint="eastAsia" w:ascii="宋体" w:hAnsi="宋体"/>
                <w:szCs w:val="21"/>
                <w:lang w:val="en-US" w:eastAsia="zh-CN"/>
              </w:rPr>
              <w:t>附录2</w:t>
            </w:r>
            <w:r>
              <w:rPr>
                <w:rFonts w:hint="eastAsia" w:ascii="宋体" w:hAnsi="宋体"/>
                <w:szCs w:val="21"/>
              </w:rPr>
              <w:t>资格审查条件（业绩最低要求）的，得9分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continue"/>
            <w:noWrap w:val="0"/>
            <w:vAlign w:val="center"/>
          </w:tcPr>
          <w:p>
            <w:pPr>
              <w:pStyle w:val="6"/>
              <w:snapToGrid w:val="0"/>
              <w:spacing w:line="320" w:lineRule="exact"/>
              <w:jc w:val="center"/>
              <w:rPr>
                <w:rFonts w:hint="eastAsia" w:hAnsi="宋体"/>
              </w:rPr>
            </w:pPr>
          </w:p>
        </w:tc>
        <w:tc>
          <w:tcPr>
            <w:tcW w:w="741" w:type="dxa"/>
            <w:vMerge w:val="continue"/>
            <w:noWrap w:val="0"/>
            <w:vAlign w:val="center"/>
          </w:tcPr>
          <w:p>
            <w:pPr>
              <w:pStyle w:val="6"/>
              <w:snapToGrid w:val="0"/>
              <w:spacing w:line="320" w:lineRule="exact"/>
              <w:jc w:val="center"/>
              <w:rPr>
                <w:rFonts w:hint="eastAsia" w:hAnsi="宋体"/>
              </w:rPr>
            </w:pPr>
          </w:p>
        </w:tc>
        <w:tc>
          <w:tcPr>
            <w:tcW w:w="624" w:type="dxa"/>
            <w:vMerge w:val="continue"/>
            <w:noWrap w:val="0"/>
            <w:vAlign w:val="center"/>
          </w:tcPr>
          <w:p>
            <w:pPr>
              <w:pStyle w:val="6"/>
              <w:snapToGrid w:val="0"/>
              <w:spacing w:line="320" w:lineRule="exact"/>
              <w:jc w:val="center"/>
              <w:rPr>
                <w:rFonts w:hint="eastAsia" w:hAnsi="宋体"/>
              </w:rPr>
            </w:pPr>
          </w:p>
        </w:tc>
        <w:tc>
          <w:tcPr>
            <w:tcW w:w="1134" w:type="dxa"/>
            <w:vMerge w:val="continue"/>
            <w:noWrap w:val="0"/>
            <w:vAlign w:val="center"/>
          </w:tcPr>
          <w:p>
            <w:pPr>
              <w:pStyle w:val="6"/>
              <w:snapToGrid w:val="0"/>
              <w:spacing w:line="320" w:lineRule="exact"/>
              <w:jc w:val="center"/>
              <w:rPr>
                <w:rFonts w:hint="eastAsia" w:hAnsi="宋体"/>
              </w:rPr>
            </w:pPr>
          </w:p>
        </w:tc>
        <w:tc>
          <w:tcPr>
            <w:tcW w:w="687" w:type="dxa"/>
            <w:vMerge w:val="continue"/>
            <w:noWrap w:val="0"/>
            <w:vAlign w:val="center"/>
          </w:tcPr>
          <w:p>
            <w:pPr>
              <w:pStyle w:val="6"/>
              <w:snapToGrid w:val="0"/>
              <w:spacing w:line="320" w:lineRule="exact"/>
              <w:jc w:val="center"/>
              <w:rPr>
                <w:rFonts w:hint="eastAsia" w:hAnsi="宋体"/>
              </w:rPr>
            </w:pPr>
          </w:p>
        </w:tc>
        <w:tc>
          <w:tcPr>
            <w:tcW w:w="5725" w:type="dxa"/>
            <w:tcBorders>
              <w:top w:val="single" w:color="auto" w:sz="4" w:space="0"/>
              <w:bottom w:val="single" w:color="auto" w:sz="4" w:space="0"/>
            </w:tcBorders>
            <w:noWrap w:val="0"/>
            <w:vAlign w:val="center"/>
          </w:tcPr>
          <w:p>
            <w:pPr>
              <w:pStyle w:val="14"/>
              <w:spacing w:before="22"/>
              <w:ind w:left="7"/>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每增加 1 项满足附录 2 资格审查条件（业绩最低要求）</w:t>
            </w:r>
          </w:p>
          <w:p>
            <w:pPr>
              <w:snapToGrid w:val="0"/>
              <w:spacing w:line="320" w:lineRule="exact"/>
              <w:rPr>
                <w:rFonts w:hint="eastAsia" w:ascii="宋体" w:hAnsi="宋体"/>
                <w:szCs w:val="21"/>
              </w:rPr>
            </w:pPr>
            <w:r>
              <w:rPr>
                <w:sz w:val="21"/>
              </w:rPr>
              <w:t xml:space="preserve">的业绩得 </w:t>
            </w:r>
            <w:r>
              <w:rPr>
                <w:rFonts w:hint="eastAsia"/>
                <w:sz w:val="21"/>
                <w:lang w:val="en-US" w:eastAsia="zh-CN"/>
              </w:rPr>
              <w:t>3</w:t>
            </w:r>
            <w:r>
              <w:rPr>
                <w:sz w:val="21"/>
              </w:rPr>
              <w:t>分，本项最多加</w:t>
            </w:r>
            <w:r>
              <w:rPr>
                <w:rFonts w:hint="eastAsia"/>
                <w:sz w:val="21"/>
                <w:lang w:val="en-US" w:eastAsia="zh-CN"/>
              </w:rPr>
              <w:t>6</w:t>
            </w:r>
            <w:r>
              <w:rPr>
                <w:sz w:val="21"/>
              </w:rPr>
              <w:t>分。</w:t>
            </w:r>
          </w:p>
        </w:tc>
      </w:tr>
    </w:tbl>
    <w:p>
      <w:pPr>
        <w:pStyle w:val="6"/>
        <w:rPr>
          <w:rFonts w:hAnsi="宋体"/>
        </w:rPr>
      </w:pPr>
    </w:p>
    <w:p>
      <w:pPr>
        <w:pStyle w:val="6"/>
        <w:rPr>
          <w:rFonts w:hAnsi="宋体"/>
        </w:rPr>
      </w:pPr>
      <w:r>
        <w:rPr>
          <w:rFonts w:hint="eastAsia" w:hAnsi="宋体"/>
        </w:rPr>
        <w:t>注：1、</w:t>
      </w:r>
      <w:r>
        <w:rPr>
          <w:rFonts w:hAnsi="宋体"/>
        </w:rPr>
        <w:t>各评分因素得分应以评标委员会各成员的打分平均值确定</w:t>
      </w:r>
      <w:r>
        <w:rPr>
          <w:rFonts w:hint="eastAsia" w:hAnsi="宋体"/>
        </w:rPr>
        <w:t>。</w:t>
      </w:r>
    </w:p>
    <w:p>
      <w:pPr>
        <w:pStyle w:val="6"/>
        <w:ind w:firstLine="428" w:firstLineChars="204"/>
        <w:rPr>
          <w:rFonts w:hAnsi="宋体"/>
        </w:rPr>
      </w:pPr>
      <w:r>
        <w:rPr>
          <w:rFonts w:hint="eastAsia" w:hAnsi="宋体"/>
        </w:rPr>
        <w:t>2、技术建议书中的评分项缺项则该项得0分。</w:t>
      </w:r>
    </w:p>
    <w:p>
      <w:pPr>
        <w:pStyle w:val="2"/>
        <w:rPr>
          <w:rFonts w:hint="eastAsia"/>
          <w:lang w:val="en-US" w:eastAsia="zh-CN"/>
        </w:rPr>
      </w:pP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DA22C24"/>
    <w:rsid w:val="17EA27C8"/>
    <w:rsid w:val="1BAD5FE6"/>
    <w:rsid w:val="21751354"/>
    <w:rsid w:val="24B403E6"/>
    <w:rsid w:val="2F4E5D88"/>
    <w:rsid w:val="33420F67"/>
    <w:rsid w:val="336E3E55"/>
    <w:rsid w:val="34362BC5"/>
    <w:rsid w:val="347C7F5C"/>
    <w:rsid w:val="381E02EC"/>
    <w:rsid w:val="4BAA60FE"/>
    <w:rsid w:val="5D865F3F"/>
    <w:rsid w:val="66CA0ED7"/>
    <w:rsid w:val="71C6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5">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rPr>
      <w:kern w:val="2"/>
      <w:sz w:val="21"/>
      <w:szCs w:val="24"/>
    </w:rPr>
  </w:style>
  <w:style w:type="paragraph" w:styleId="3">
    <w:name w:val="Body Text 2"/>
    <w:basedOn w:val="1"/>
    <w:uiPriority w:val="0"/>
    <w:pPr>
      <w:spacing w:line="540" w:lineRule="exact"/>
    </w:pPr>
    <w:rPr>
      <w:color w:val="FF0000"/>
      <w:kern w:val="2"/>
      <w:sz w:val="21"/>
      <w:szCs w:val="24"/>
    </w:rPr>
  </w:style>
  <w:style w:type="paragraph" w:styleId="6">
    <w:name w:val="Plain Text"/>
    <w:basedOn w:val="1"/>
    <w:next w:val="1"/>
    <w:qFormat/>
    <w:uiPriority w:val="0"/>
    <w:rPr>
      <w:rFonts w:ascii="宋体"/>
      <w:szCs w:val="21"/>
    </w:rPr>
  </w:style>
  <w:style w:type="paragraph" w:styleId="7">
    <w:name w:val="Normal (Web)"/>
    <w:basedOn w:val="1"/>
    <w:qFormat/>
    <w:uiPriority w:val="0"/>
    <w:pPr>
      <w:widowControl/>
      <w:spacing w:before="100" w:beforeAutospacing="1" w:after="100" w:afterAutospacing="1"/>
      <w:jc w:val="left"/>
    </w:pPr>
    <w:rPr>
      <w:rFonts w:ascii="宋体" w:cs="Arial"/>
      <w:color w:val="0000FF"/>
      <w:kern w:val="0"/>
      <w:sz w:val="24"/>
      <w:lang w:bidi="ar-SA"/>
    </w:rPr>
  </w:style>
  <w:style w:type="paragraph" w:customStyle="1" w:styleId="10">
    <w:name w:val="目录3"/>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1">
    <w:name w:val="样式54"/>
    <w:basedOn w:val="4"/>
    <w:qFormat/>
    <w:uiPriority w:val="0"/>
    <w:pPr>
      <w:spacing w:before="0" w:after="0" w:line="360" w:lineRule="auto"/>
      <w:jc w:val="center"/>
    </w:pPr>
  </w:style>
  <w:style w:type="paragraph" w:customStyle="1" w:styleId="1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3">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4">
    <w:name w:val="Table Paragraph"/>
    <w:basedOn w:val="1"/>
    <w:unhideWhenUsed/>
    <w:qFormat/>
    <w:uiPriority w:val="1"/>
    <w:pPr>
      <w:widowControl/>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5402</Words>
  <Characters>5860</Characters>
  <Lines>0</Lines>
  <Paragraphs>0</Paragraphs>
  <TotalTime>2</TotalTime>
  <ScaleCrop>false</ScaleCrop>
  <LinksUpToDate>false</LinksUpToDate>
  <CharactersWithSpaces>5936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2022-09-07T04:30:00Z</dcterms:created>
  <dc:creator>Administrator</dc:creator>
  <cp:lastModifiedBy>招标管理办公室</cp:lastModifiedBy>
  <dcterms:modified xsi:type="dcterms:W3CDTF">2022-09-09T00:38:17Z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4D5C4F1B227A4A40BE655F564039B5CE</vt:lpwstr>
  </property>
</Properties>
</file>